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D7" w:rsidRDefault="007A2E92">
      <w:pPr>
        <w:pStyle w:val="Heading1"/>
        <w:ind w:left="-1440" w:right="386"/>
        <w:sectPr w:rsidR="000A66D7">
          <w:headerReference w:type="default" r:id="rId8"/>
          <w:footerReference w:type="default" r:id="rId9"/>
          <w:pgSz w:w="11906" w:h="16838"/>
          <w:pgMar w:top="0" w:right="986" w:bottom="0" w:left="1440" w:header="706" w:footer="706" w:gutter="0"/>
          <w:pgBorders w:offsetFrom="page">
            <w:top w:val="inset" w:sz="6" w:space="24" w:color="DDDDDD"/>
            <w:left w:val="inset" w:sz="6" w:space="24" w:color="DDDDDD"/>
            <w:bottom w:val="outset" w:sz="6" w:space="24" w:color="DDDDDD"/>
            <w:right w:val="outset" w:sz="6" w:space="24" w:color="DDDDDD"/>
          </w:pgBorders>
          <w:cols w:space="708"/>
          <w:titlePg/>
          <w:docGrid w:linePitch="360"/>
        </w:sectPr>
      </w:pPr>
      <w:bookmarkStart w:id="0" w:name="_Toc302052645"/>
      <w:bookmarkStart w:id="1" w:name="OLE_LINK1"/>
      <w:bookmarkStart w:id="2" w:name="OLE_LINK2"/>
      <w:bookmarkStart w:id="3" w:name="OLE_LINK3"/>
      <w:r>
        <w:rPr>
          <w:noProof/>
          <w:color w:val="002060"/>
          <w:sz w:val="20"/>
          <w:lang w:val="en-US"/>
        </w:rPr>
        <w:pict>
          <v:shapetype id="_x0000_t202" coordsize="21600,21600" o:spt="202" path="m,l,21600r21600,l21600,xe">
            <v:stroke joinstyle="miter"/>
            <v:path gradientshapeok="t" o:connecttype="rect"/>
          </v:shapetype>
          <v:shape id="Text Box 2" o:spid="_x0000_s1106" type="#_x0000_t202" style="position:absolute;left:0;text-align:left;margin-left:-29.85pt;margin-top:90pt;width:516.9pt;height:207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rsidR="000A66D7" w:rsidRDefault="000A66D7">
                  <w:pPr>
                    <w:jc w:val="center"/>
                    <w:rPr>
                      <w:rFonts w:ascii="Book Antiqua" w:hAnsi="Book Antiqua"/>
                      <w:bCs/>
                      <w:color w:val="002060"/>
                      <w:sz w:val="72"/>
                    </w:rPr>
                  </w:pPr>
                  <w:r>
                    <w:rPr>
                      <w:rFonts w:ascii="Book Antiqua" w:hAnsi="Book Antiqua"/>
                      <w:bCs/>
                      <w:color w:val="002060"/>
                      <w:sz w:val="72"/>
                    </w:rPr>
                    <w:t xml:space="preserve">Addressing </w:t>
                  </w:r>
                  <w:proofErr w:type="spellStart"/>
                  <w:r>
                    <w:rPr>
                      <w:rFonts w:ascii="Book Antiqua" w:hAnsi="Book Antiqua"/>
                      <w:bCs/>
                      <w:color w:val="002060"/>
                      <w:sz w:val="72"/>
                    </w:rPr>
                    <w:t>Diarrhea</w:t>
                  </w:r>
                  <w:proofErr w:type="spellEnd"/>
                  <w:r>
                    <w:rPr>
                      <w:rFonts w:ascii="Book Antiqua" w:hAnsi="Book Antiqua"/>
                      <w:bCs/>
                      <w:color w:val="002060"/>
                      <w:sz w:val="72"/>
                    </w:rPr>
                    <w:t xml:space="preserve"> Through</w:t>
                  </w:r>
                </w:p>
                <w:p w:rsidR="000A66D7" w:rsidRDefault="000A66D7">
                  <w:pPr>
                    <w:jc w:val="center"/>
                    <w:rPr>
                      <w:rFonts w:ascii="Book Antiqua" w:hAnsi="Book Antiqua"/>
                      <w:bCs/>
                      <w:color w:val="002060"/>
                      <w:sz w:val="52"/>
                    </w:rPr>
                  </w:pPr>
                  <w:r>
                    <w:rPr>
                      <w:rFonts w:ascii="Book Antiqua" w:hAnsi="Book Antiqua"/>
                      <w:bCs/>
                      <w:color w:val="002060"/>
                      <w:sz w:val="72"/>
                    </w:rPr>
                    <w:t>Public Health Action</w:t>
                  </w:r>
                  <w:r>
                    <w:rPr>
                      <w:rFonts w:ascii="Book Antiqua" w:hAnsi="Book Antiqua"/>
                      <w:bCs/>
                      <w:color w:val="002060"/>
                      <w:sz w:val="52"/>
                    </w:rPr>
                    <w:t xml:space="preserve">: </w:t>
                  </w:r>
                </w:p>
                <w:p w:rsidR="000A66D7" w:rsidRDefault="000A66D7">
                  <w:pPr>
                    <w:jc w:val="center"/>
                    <w:rPr>
                      <w:bCs/>
                      <w:color w:val="002060"/>
                      <w:sz w:val="56"/>
                    </w:rPr>
                  </w:pPr>
                  <w:r>
                    <w:rPr>
                      <w:bCs/>
                      <w:color w:val="002060"/>
                      <w:sz w:val="52"/>
                    </w:rPr>
                    <w:t>Th</w:t>
                  </w:r>
                  <w:r>
                    <w:rPr>
                      <w:bCs/>
                      <w:color w:val="002060"/>
                      <w:sz w:val="56"/>
                    </w:rPr>
                    <w:t xml:space="preserve">e Case of an Informal Settlement </w:t>
                  </w:r>
                </w:p>
                <w:p w:rsidR="000A66D7" w:rsidRDefault="000A66D7">
                  <w:pPr>
                    <w:jc w:val="center"/>
                    <w:rPr>
                      <w:color w:val="002060"/>
                      <w:sz w:val="60"/>
                      <w:szCs w:val="60"/>
                    </w:rPr>
                  </w:pPr>
                  <w:proofErr w:type="gramStart"/>
                  <w:r>
                    <w:rPr>
                      <w:bCs/>
                      <w:color w:val="002060"/>
                      <w:sz w:val="56"/>
                    </w:rPr>
                    <w:t>in</w:t>
                  </w:r>
                  <w:proofErr w:type="gramEnd"/>
                  <w:r>
                    <w:rPr>
                      <w:bCs/>
                      <w:color w:val="002060"/>
                      <w:sz w:val="56"/>
                    </w:rPr>
                    <w:t xml:space="preserve"> Sub-Saharan</w:t>
                  </w:r>
                  <w:r>
                    <w:rPr>
                      <w:color w:val="002060"/>
                      <w:sz w:val="56"/>
                      <w:szCs w:val="100"/>
                    </w:rPr>
                    <w:t xml:space="preserve"> </w:t>
                  </w:r>
                  <w:r>
                    <w:rPr>
                      <w:color w:val="002060"/>
                      <w:sz w:val="56"/>
                      <w:szCs w:val="60"/>
                    </w:rPr>
                    <w:t>Africa</w:t>
                  </w:r>
                </w:p>
              </w:txbxContent>
            </v:textbox>
          </v:shape>
        </w:pict>
      </w:r>
      <w:r w:rsidR="002F7B5D">
        <w:rPr>
          <w:noProof/>
          <w:color w:val="002060"/>
          <w:lang w:val="en-ZA" w:eastAsia="en-ZA"/>
        </w:rPr>
        <w:drawing>
          <wp:inline distT="0" distB="0" distL="0" distR="0">
            <wp:extent cx="7819390" cy="11019790"/>
            <wp:effectExtent l="19050" t="0" r="0" b="0"/>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cstate="print"/>
                    <a:srcRect t="673"/>
                    <a:stretch>
                      <a:fillRect/>
                    </a:stretch>
                  </pic:blipFill>
                  <pic:spPr bwMode="auto">
                    <a:xfrm>
                      <a:off x="0" y="0"/>
                      <a:ext cx="7819390" cy="11019790"/>
                    </a:xfrm>
                    <a:prstGeom prst="rect">
                      <a:avLst/>
                    </a:prstGeom>
                    <a:noFill/>
                    <a:ln w="9525">
                      <a:noFill/>
                      <a:miter lim="800000"/>
                      <a:headEnd/>
                      <a:tailEnd/>
                    </a:ln>
                  </pic:spPr>
                </pic:pic>
              </a:graphicData>
            </a:graphic>
          </wp:inline>
        </w:drawing>
      </w:r>
      <w:bookmarkStart w:id="4" w:name="_GoBack"/>
      <w:bookmarkEnd w:id="4"/>
      <w:r>
        <w:rPr>
          <w:noProof/>
          <w:sz w:val="20"/>
          <w:lang w:val="en-US"/>
        </w:rPr>
        <w:pict>
          <v:rect id="_x0000_s1102" style="position:absolute;left:0;text-align:left;margin-left:-53.85pt;margin-top:99pt;width:564pt;height:198pt;z-index:251651072;mso-position-horizontal-relative:text;mso-position-vertical-relative:text" filled="f" fillcolor="#16ab1a" stroked="f">
            <v:fill opacity="12452f"/>
          </v:rect>
        </w:pict>
      </w:r>
    </w:p>
    <w:p w:rsidR="000A66D7" w:rsidRDefault="000A66D7">
      <w:pPr>
        <w:rPr>
          <w:rFonts w:ascii="Trebuchet MS" w:hAnsi="Trebuchet MS"/>
          <w:color w:val="002060"/>
          <w:sz w:val="40"/>
          <w:szCs w:val="40"/>
        </w:rPr>
      </w:pPr>
    </w:p>
    <w:p w:rsidR="000A66D7" w:rsidRDefault="000A66D7">
      <w:pPr>
        <w:rPr>
          <w:rFonts w:ascii="Trebuchet MS" w:hAnsi="Trebuchet MS"/>
          <w:color w:val="002060"/>
          <w:sz w:val="40"/>
          <w:szCs w:val="40"/>
        </w:rPr>
      </w:pPr>
    </w:p>
    <w:p w:rsidR="000A66D7" w:rsidRDefault="000A66D7">
      <w:pPr>
        <w:ind w:right="1466"/>
        <w:rPr>
          <w:color w:val="002060"/>
          <w:sz w:val="40"/>
          <w:szCs w:val="40"/>
        </w:rPr>
      </w:pPr>
      <w:r>
        <w:rPr>
          <w:color w:val="002060"/>
          <w:sz w:val="40"/>
          <w:szCs w:val="40"/>
        </w:rPr>
        <w:t xml:space="preserve">School of Public Health (SOPH), University of the Western Cape (UWC), South Africa </w:t>
      </w:r>
    </w:p>
    <w:p w:rsidR="000A66D7" w:rsidRDefault="000A66D7">
      <w:pPr>
        <w:rPr>
          <w:b/>
          <w:color w:val="002060"/>
          <w:sz w:val="40"/>
          <w:szCs w:val="40"/>
        </w:rPr>
      </w:pPr>
      <w:r>
        <w:rPr>
          <w:b/>
          <w:color w:val="002060"/>
          <w:sz w:val="40"/>
          <w:szCs w:val="40"/>
        </w:rPr>
        <w:t>Open Education Resource</w:t>
      </w:r>
      <w:bookmarkEnd w:id="0"/>
      <w:r>
        <w:rPr>
          <w:b/>
          <w:color w:val="002060"/>
          <w:sz w:val="40"/>
          <w:szCs w:val="40"/>
        </w:rPr>
        <w:t xml:space="preserve"> Description</w:t>
      </w:r>
    </w:p>
    <w:p w:rsidR="000A66D7" w:rsidRDefault="000A66D7">
      <w:pPr>
        <w:rPr>
          <w:color w:val="002060"/>
        </w:rPr>
      </w:pPr>
    </w:p>
    <w:p w:rsidR="000A66D7" w:rsidRDefault="000A66D7">
      <w:pPr>
        <w:pStyle w:val="Revision"/>
        <w:rPr>
          <w:rFonts w:ascii="Cambria" w:hAnsi="Cambria"/>
        </w:rPr>
      </w:pPr>
      <w:r>
        <w:rPr>
          <w:rFonts w:ascii="Cambria" w:hAnsi="Cambria" w:cs="Arial"/>
          <w:b/>
          <w:noProof/>
          <w:color w:val="002060"/>
        </w:rPr>
        <w:t xml:space="preserve">Abstract: </w:t>
      </w:r>
      <w:r>
        <w:rPr>
          <w:rFonts w:ascii="Cambria" w:hAnsi="Cambria"/>
        </w:rPr>
        <w:t xml:space="preserve">The case concerns an informal settlement with a high prevalence of diarrheal disease in sub-Saharan Africa, and the factors that feed into this situation. The learning aim is to apply a model for intervention – the Public Health Action Cycle, which is based on UNICEF’s Triple </w:t>
      </w:r>
      <w:proofErr w:type="gramStart"/>
      <w:r>
        <w:rPr>
          <w:rFonts w:ascii="Cambria" w:hAnsi="Cambria"/>
        </w:rPr>
        <w:t>A</w:t>
      </w:r>
      <w:proofErr w:type="gramEnd"/>
      <w:r>
        <w:rPr>
          <w:rFonts w:ascii="Cambria" w:hAnsi="Cambria"/>
        </w:rPr>
        <w:t xml:space="preserve"> Cycle for nutrition improvement. </w:t>
      </w:r>
    </w:p>
    <w:p w:rsidR="000A66D7" w:rsidRDefault="000A66D7">
      <w:pPr>
        <w:rPr>
          <w:rFonts w:ascii="Cambria" w:hAnsi="Cambria"/>
        </w:rPr>
      </w:pPr>
    </w:p>
    <w:p w:rsidR="000A66D7" w:rsidRDefault="000A66D7">
      <w:pPr>
        <w:rPr>
          <w:rFonts w:ascii="Cambria" w:hAnsi="Cambria" w:cs="Arial"/>
          <w:b/>
          <w:color w:val="021F59"/>
        </w:rPr>
      </w:pPr>
      <w:r>
        <w:rPr>
          <w:rFonts w:ascii="Cambria" w:hAnsi="Cambria" w:cs="Arial"/>
          <w:b/>
          <w:color w:val="002060"/>
        </w:rPr>
        <w:t>Keywords:</w:t>
      </w:r>
      <w:r>
        <w:rPr>
          <w:rFonts w:ascii="Cambria" w:hAnsi="Cambria" w:cs="Arial"/>
          <w:b/>
          <w:color w:val="021F59"/>
        </w:rPr>
        <w:t xml:space="preserve"> </w:t>
      </w:r>
      <w:r>
        <w:rPr>
          <w:rFonts w:ascii="Cambria" w:hAnsi="Cambria" w:cs="Arial"/>
          <w:bCs/>
        </w:rPr>
        <w:t>Informal settlement, water, sanitation, faeces, Sub-Saharan Africa, poverty, Public Health Action cycle</w:t>
      </w:r>
    </w:p>
    <w:p w:rsidR="000A66D7" w:rsidRDefault="000A66D7">
      <w:pPr>
        <w:rPr>
          <w:rFonts w:ascii="Cambria" w:hAnsi="Cambria" w:cs="Arial"/>
          <w:b/>
          <w:color w:val="021F59"/>
        </w:rPr>
      </w:pPr>
    </w:p>
    <w:p w:rsidR="000A66D7" w:rsidRDefault="000A66D7">
      <w:pPr>
        <w:rPr>
          <w:rFonts w:ascii="Cambria" w:hAnsi="Cambria" w:cs="Arial"/>
          <w:bCs/>
        </w:rPr>
      </w:pPr>
      <w:r>
        <w:rPr>
          <w:rFonts w:ascii="Cambria" w:hAnsi="Cambria" w:cs="Arial"/>
          <w:b/>
          <w:color w:val="002060"/>
        </w:rPr>
        <w:t>Learning object type:</w:t>
      </w:r>
      <w:r>
        <w:rPr>
          <w:rFonts w:ascii="Cambria" w:hAnsi="Cambria" w:cs="Arial"/>
          <w:b/>
          <w:color w:val="021F59"/>
        </w:rPr>
        <w:t xml:space="preserve"> </w:t>
      </w:r>
      <w:r>
        <w:rPr>
          <w:rFonts w:ascii="Cambria" w:hAnsi="Cambria" w:cs="Arial"/>
          <w:bCs/>
        </w:rPr>
        <w:t xml:space="preserve">Public Health case </w:t>
      </w:r>
    </w:p>
    <w:p w:rsidR="000A66D7" w:rsidRDefault="000A66D7">
      <w:pPr>
        <w:rPr>
          <w:rFonts w:ascii="Cambria" w:hAnsi="Cambria" w:cs="Arial"/>
          <w:b/>
          <w:color w:val="021F59"/>
        </w:rPr>
      </w:pPr>
    </w:p>
    <w:p w:rsidR="000A66D7" w:rsidRDefault="000A66D7">
      <w:pPr>
        <w:rPr>
          <w:rFonts w:ascii="Cambria" w:hAnsi="Cambria" w:cs="Arial"/>
          <w:b/>
        </w:rPr>
      </w:pPr>
      <w:r>
        <w:rPr>
          <w:rFonts w:ascii="Cambria" w:hAnsi="Cambria" w:cs="Arial"/>
          <w:b/>
          <w:color w:val="002060"/>
        </w:rPr>
        <w:t>Background:</w:t>
      </w:r>
      <w:r>
        <w:rPr>
          <w:rFonts w:ascii="Cambria" w:hAnsi="Cambria" w:cs="Arial"/>
          <w:b/>
          <w:color w:val="021F59"/>
        </w:rPr>
        <w:t xml:space="preserve"> </w:t>
      </w:r>
      <w:r>
        <w:rPr>
          <w:rFonts w:ascii="Cambria" w:hAnsi="Cambria" w:cs="Arial"/>
          <w:bCs/>
        </w:rPr>
        <w:t>Developed from the experiences of a medical doctor who was then an MPH student, and from visiting the settlement with her as well as an interview with a community developer.  It was developed for teaching purposes in the SOPH, UWC Postgraduate Programme.</w:t>
      </w:r>
    </w:p>
    <w:p w:rsidR="000A66D7" w:rsidRDefault="000A66D7">
      <w:pPr>
        <w:rPr>
          <w:rFonts w:ascii="Cambria" w:hAnsi="Cambria" w:cs="Arial"/>
          <w:b/>
          <w:color w:val="021F59"/>
        </w:rPr>
      </w:pPr>
    </w:p>
    <w:p w:rsidR="000A66D7" w:rsidRDefault="000A66D7">
      <w:pPr>
        <w:ind w:left="720" w:hanging="720"/>
        <w:rPr>
          <w:rFonts w:ascii="Cambria" w:hAnsi="Cambria"/>
          <w:noProof/>
        </w:rPr>
      </w:pPr>
      <w:r>
        <w:rPr>
          <w:rFonts w:ascii="Cambria" w:hAnsi="Cambria"/>
          <w:b/>
          <w:color w:val="021F59"/>
        </w:rPr>
        <w:t>Target audience:</w:t>
      </w:r>
      <w:r>
        <w:rPr>
          <w:rFonts w:ascii="Cambria" w:hAnsi="Cambria"/>
          <w:b/>
          <w:color w:val="16AB1A"/>
        </w:rPr>
        <w:t xml:space="preserve"> </w:t>
      </w:r>
      <w:r>
        <w:rPr>
          <w:rFonts w:ascii="Cambria" w:hAnsi="Cambria"/>
          <w:noProof/>
        </w:rPr>
        <w:t xml:space="preserve">Individuals leading and/or participating in Public Health education  </w:t>
      </w:r>
    </w:p>
    <w:p w:rsidR="000A66D7" w:rsidRDefault="000A66D7">
      <w:pPr>
        <w:rPr>
          <w:rFonts w:ascii="Cambria" w:hAnsi="Cambria"/>
          <w:b/>
          <w:color w:val="021F59"/>
        </w:rPr>
      </w:pPr>
    </w:p>
    <w:p w:rsidR="000A66D7" w:rsidRDefault="000A66D7">
      <w:pPr>
        <w:rPr>
          <w:rFonts w:ascii="Cambria" w:hAnsi="Cambria" w:cs="Arial"/>
        </w:rPr>
      </w:pPr>
      <w:r>
        <w:rPr>
          <w:rFonts w:ascii="Cambria" w:hAnsi="Cambria"/>
          <w:b/>
          <w:color w:val="021F59"/>
        </w:rPr>
        <w:t>Auxiliary materials:</w:t>
      </w:r>
      <w:r>
        <w:rPr>
          <w:rFonts w:ascii="Cambria" w:hAnsi="Cambria"/>
        </w:rPr>
        <w:t xml:space="preserve"> References to online articles; Advocacy document in Addendum 1: </w:t>
      </w:r>
      <w:r>
        <w:rPr>
          <w:rFonts w:ascii="Cambria" w:hAnsi="Cambria" w:cs="Arial"/>
          <w:szCs w:val="20"/>
        </w:rPr>
        <w:t xml:space="preserve">Reynolds, L. &amp; Sanders, </w:t>
      </w:r>
      <w:proofErr w:type="gramStart"/>
      <w:r>
        <w:rPr>
          <w:rFonts w:ascii="Cambria" w:hAnsi="Cambria" w:cs="Arial"/>
          <w:szCs w:val="20"/>
        </w:rPr>
        <w:t>D</w:t>
      </w:r>
      <w:proofErr w:type="gramEnd"/>
      <w:r>
        <w:rPr>
          <w:rFonts w:ascii="Cambria" w:hAnsi="Cambria" w:cs="Arial"/>
          <w:szCs w:val="20"/>
        </w:rPr>
        <w:t xml:space="preserve">. on behalf of the People’s Health Movement (PHM). </w:t>
      </w:r>
      <w:proofErr w:type="gramStart"/>
      <w:r>
        <w:rPr>
          <w:rFonts w:ascii="Cambria" w:hAnsi="Cambria" w:cs="Arial"/>
          <w:szCs w:val="20"/>
        </w:rPr>
        <w:t xml:space="preserve">(2008). </w:t>
      </w:r>
      <w:r>
        <w:rPr>
          <w:rFonts w:ascii="Cambria" w:hAnsi="Cambria" w:cs="Arial"/>
          <w:i/>
          <w:szCs w:val="20"/>
        </w:rPr>
        <w:t xml:space="preserve">Submission to the SA </w:t>
      </w:r>
      <w:r>
        <w:rPr>
          <w:rFonts w:ascii="Cambria" w:hAnsi="Cambria" w:cs="Arial"/>
          <w:i/>
        </w:rPr>
        <w:t>Human Rights Commission</w:t>
      </w:r>
      <w:r>
        <w:rPr>
          <w:rFonts w:ascii="Cambria" w:hAnsi="Cambria" w:cs="Arial"/>
          <w:i/>
          <w:szCs w:val="20"/>
        </w:rPr>
        <w:t>.</w:t>
      </w:r>
      <w:proofErr w:type="gramEnd"/>
      <w:r>
        <w:rPr>
          <w:rFonts w:ascii="Cambria" w:hAnsi="Cambria" w:cs="Arial"/>
          <w:i/>
          <w:szCs w:val="20"/>
        </w:rPr>
        <w:t xml:space="preserve"> </w:t>
      </w:r>
      <w:r>
        <w:rPr>
          <w:rFonts w:ascii="Cambria" w:hAnsi="Cambria" w:cs="Arial"/>
          <w:szCs w:val="20"/>
        </w:rPr>
        <w:t>Cape Town, RSA: PHM.</w:t>
      </w:r>
    </w:p>
    <w:p w:rsidR="000A66D7" w:rsidRDefault="000A66D7">
      <w:pPr>
        <w:rPr>
          <w:rFonts w:ascii="Cambria" w:hAnsi="Cambria"/>
          <w:b/>
          <w:color w:val="17365D"/>
        </w:rPr>
      </w:pPr>
    </w:p>
    <w:p w:rsidR="000A66D7" w:rsidRDefault="000A66D7">
      <w:pPr>
        <w:rPr>
          <w:rFonts w:ascii="Cambria" w:hAnsi="Cambria"/>
        </w:rPr>
      </w:pPr>
      <w:r>
        <w:rPr>
          <w:rFonts w:ascii="Cambria" w:hAnsi="Cambria"/>
          <w:b/>
          <w:color w:val="002060"/>
        </w:rPr>
        <w:t>Version:</w:t>
      </w:r>
      <w:r>
        <w:rPr>
          <w:rFonts w:ascii="Cambria" w:hAnsi="Cambria"/>
          <w:color w:val="17365D"/>
        </w:rPr>
        <w:t xml:space="preserve"> </w:t>
      </w:r>
      <w:r>
        <w:rPr>
          <w:rFonts w:ascii="Cambria" w:hAnsi="Cambria"/>
        </w:rPr>
        <w:t>1.0</w:t>
      </w:r>
    </w:p>
    <w:p w:rsidR="000A66D7" w:rsidRDefault="000A66D7">
      <w:pPr>
        <w:rPr>
          <w:rFonts w:ascii="Cambria" w:hAnsi="Cambria"/>
          <w:b/>
          <w:color w:val="002060"/>
        </w:rPr>
      </w:pPr>
    </w:p>
    <w:p w:rsidR="000A66D7" w:rsidRDefault="000A66D7">
      <w:pPr>
        <w:rPr>
          <w:rFonts w:ascii="Cambria" w:hAnsi="Cambria"/>
        </w:rPr>
      </w:pPr>
      <w:r>
        <w:rPr>
          <w:rFonts w:ascii="Cambria" w:hAnsi="Cambria"/>
          <w:b/>
          <w:color w:val="002060"/>
        </w:rPr>
        <w:t>Copyright holder:</w:t>
      </w:r>
      <w:r>
        <w:rPr>
          <w:rFonts w:ascii="Cambria" w:hAnsi="Cambria"/>
          <w:color w:val="002060"/>
        </w:rPr>
        <w:t xml:space="preserve"> </w:t>
      </w:r>
      <w:r>
        <w:rPr>
          <w:rFonts w:ascii="Cambria" w:hAnsi="Cambria"/>
        </w:rPr>
        <w:t>University of the Western Cape (UWC), School of Public Health</w:t>
      </w:r>
    </w:p>
    <w:p w:rsidR="000A66D7" w:rsidRDefault="000A66D7">
      <w:pPr>
        <w:rPr>
          <w:rFonts w:ascii="Cambria" w:hAnsi="Cambria"/>
          <w:b/>
          <w:bCs/>
          <w:color w:val="000066"/>
        </w:rPr>
      </w:pPr>
    </w:p>
    <w:p w:rsidR="000A66D7" w:rsidRDefault="000A66D7">
      <w:pPr>
        <w:rPr>
          <w:rFonts w:ascii="Cambria" w:hAnsi="Cambria"/>
        </w:rPr>
      </w:pPr>
      <w:r>
        <w:rPr>
          <w:rFonts w:ascii="Cambria" w:hAnsi="Cambria"/>
          <w:b/>
          <w:bCs/>
          <w:color w:val="000066"/>
        </w:rPr>
        <w:t xml:space="preserve">License: </w:t>
      </w:r>
      <w:r w:rsidR="002F7B5D">
        <w:rPr>
          <w:rFonts w:ascii="Cambria" w:hAnsi="Cambria"/>
          <w:noProof/>
          <w:sz w:val="20"/>
          <w:lang w:val="en-ZA" w:eastAsia="en-ZA"/>
        </w:rPr>
        <w:drawing>
          <wp:anchor distT="0" distB="0" distL="114300" distR="114300" simplePos="0" relativeHeight="251653120" behindDoc="0" locked="0" layoutInCell="1" allowOverlap="0">
            <wp:simplePos x="0" y="0"/>
            <wp:positionH relativeFrom="column">
              <wp:posOffset>0</wp:posOffset>
            </wp:positionH>
            <wp:positionV relativeFrom="paragraph">
              <wp:posOffset>387350</wp:posOffset>
            </wp:positionV>
            <wp:extent cx="609600" cy="304800"/>
            <wp:effectExtent l="19050" t="0" r="0" b="0"/>
            <wp:wrapTight wrapText="bothSides">
              <wp:wrapPolygon edited="0">
                <wp:start x="-675" y="0"/>
                <wp:lineTo x="-675" y="20250"/>
                <wp:lineTo x="21600" y="20250"/>
                <wp:lineTo x="21600" y="0"/>
                <wp:lineTo x="-675"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srcRect/>
                    <a:stretch>
                      <a:fillRect/>
                    </a:stretch>
                  </pic:blipFill>
                  <pic:spPr bwMode="auto">
                    <a:xfrm>
                      <a:off x="0" y="0"/>
                      <a:ext cx="609600" cy="304800"/>
                    </a:xfrm>
                    <a:prstGeom prst="rect">
                      <a:avLst/>
                    </a:prstGeom>
                    <a:noFill/>
                  </pic:spPr>
                </pic:pic>
              </a:graphicData>
            </a:graphic>
          </wp:anchor>
        </w:drawing>
      </w:r>
      <w:r>
        <w:rPr>
          <w:rFonts w:ascii="Cambria" w:hAnsi="Cambria"/>
        </w:rPr>
        <w:t xml:space="preserve">Except where otherwise noted, this work is licensed under a Creative Commons Attribution - </w:t>
      </w:r>
      <w:proofErr w:type="spellStart"/>
      <w:r>
        <w:rPr>
          <w:rFonts w:ascii="Cambria" w:hAnsi="Cambria"/>
        </w:rPr>
        <w:t>ShareAlike</w:t>
      </w:r>
      <w:proofErr w:type="spellEnd"/>
      <w:r>
        <w:rPr>
          <w:rFonts w:ascii="Cambria" w:hAnsi="Cambria"/>
        </w:rPr>
        <w:t xml:space="preserve"> 3.0 </w:t>
      </w:r>
      <w:proofErr w:type="spellStart"/>
      <w:r>
        <w:rPr>
          <w:rFonts w:ascii="Cambria" w:hAnsi="Cambria"/>
        </w:rPr>
        <w:t>Unported</w:t>
      </w:r>
      <w:proofErr w:type="spellEnd"/>
      <w:r>
        <w:rPr>
          <w:rFonts w:ascii="Cambria" w:hAnsi="Cambria"/>
        </w:rPr>
        <w:t xml:space="preserve"> (CC BY-SA 3.0) </w:t>
      </w:r>
      <w:hyperlink r:id="rId12" w:tgtFrame="_blank" w:history="1">
        <w:r>
          <w:rPr>
            <w:rStyle w:val="Hyperlink"/>
            <w:rFonts w:ascii="Cambria" w:hAnsi="Cambria" w:cs="Calibri"/>
            <w:b/>
          </w:rPr>
          <w:t>http://creativecommons.org/licenses/by-sa/3.0/</w:t>
        </w:r>
      </w:hyperlink>
      <w:r>
        <w:rPr>
          <w:rFonts w:ascii="Cambria" w:hAnsi="Cambria"/>
        </w:rPr>
        <w:t xml:space="preserve"> </w:t>
      </w:r>
    </w:p>
    <w:p w:rsidR="000A66D7" w:rsidRDefault="000A66D7">
      <w:pPr>
        <w:rPr>
          <w:rFonts w:ascii="Cambria" w:hAnsi="Cambria"/>
        </w:rPr>
      </w:pPr>
    </w:p>
    <w:p w:rsidR="000A66D7" w:rsidRDefault="000A66D7">
      <w:pPr>
        <w:rPr>
          <w:rFonts w:ascii="Cambria" w:hAnsi="Cambria"/>
        </w:rPr>
      </w:pPr>
      <w:r>
        <w:rPr>
          <w:rFonts w:ascii="Cambria" w:hAnsi="Cambria"/>
          <w:b/>
          <w:color w:val="000066"/>
        </w:rPr>
        <w:t>Copyright:</w:t>
      </w:r>
      <w:r>
        <w:rPr>
          <w:rFonts w:ascii="Cambria" w:hAnsi="Cambria"/>
        </w:rPr>
        <w:t xml:space="preserve"> © 2012 SOPH School of Public Health, UWC.</w:t>
      </w:r>
    </w:p>
    <w:p w:rsidR="000A66D7" w:rsidRDefault="000A66D7">
      <w:pPr>
        <w:rPr>
          <w:rFonts w:ascii="Cambria" w:hAnsi="Cambria"/>
          <w:b/>
          <w:color w:val="000066"/>
        </w:rPr>
      </w:pPr>
    </w:p>
    <w:p w:rsidR="000A66D7" w:rsidRDefault="000A66D7">
      <w:pPr>
        <w:rPr>
          <w:rFonts w:ascii="Cambria" w:hAnsi="Cambria"/>
          <w:noProof/>
        </w:rPr>
      </w:pPr>
      <w:r>
        <w:rPr>
          <w:rFonts w:ascii="Cambria" w:hAnsi="Cambria"/>
          <w:b/>
          <w:color w:val="000066"/>
        </w:rPr>
        <w:t>Date content created:</w:t>
      </w:r>
      <w:r>
        <w:rPr>
          <w:rFonts w:ascii="Cambria" w:hAnsi="Cambria"/>
          <w:b/>
          <w:noProof/>
        </w:rPr>
        <w:t xml:space="preserve"> </w:t>
      </w:r>
      <w:r>
        <w:rPr>
          <w:rFonts w:ascii="Cambria" w:hAnsi="Cambria"/>
          <w:bCs/>
          <w:noProof/>
        </w:rPr>
        <w:t>March</w:t>
      </w:r>
      <w:r>
        <w:rPr>
          <w:rFonts w:ascii="Cambria" w:hAnsi="Cambria"/>
          <w:noProof/>
        </w:rPr>
        <w:t xml:space="preserve"> 2012</w:t>
      </w:r>
    </w:p>
    <w:p w:rsidR="000A66D7" w:rsidRDefault="000A66D7">
      <w:pPr>
        <w:rPr>
          <w:rFonts w:ascii="Cambria" w:hAnsi="Cambria"/>
          <w:noProof/>
        </w:rPr>
      </w:pPr>
    </w:p>
    <w:p w:rsidR="000A66D7" w:rsidRDefault="000A66D7"/>
    <w:p w:rsidR="000A66D7" w:rsidRDefault="000A66D7"/>
    <w:p w:rsidR="000A66D7" w:rsidRDefault="000A66D7"/>
    <w:p w:rsidR="000A66D7" w:rsidRDefault="000A66D7">
      <w:pPr>
        <w:rPr>
          <w:color w:val="021F59"/>
          <w:kern w:val="28"/>
          <w:sz w:val="40"/>
          <w:szCs w:val="40"/>
        </w:rPr>
      </w:pPr>
      <w:r>
        <w:rPr>
          <w:noProof/>
          <w:color w:val="E02C14"/>
        </w:rPr>
        <w:br w:type="page"/>
      </w:r>
      <w:bookmarkEnd w:id="1"/>
      <w:bookmarkEnd w:id="2"/>
      <w:bookmarkEnd w:id="3"/>
    </w:p>
    <w:p w:rsidR="000A66D7" w:rsidRDefault="000A66D7">
      <w:pPr>
        <w:pStyle w:val="Heading1"/>
        <w:tabs>
          <w:tab w:val="left" w:pos="1985"/>
        </w:tabs>
        <w:spacing w:before="120"/>
        <w:rPr>
          <w:rFonts w:ascii="Calibri" w:hAnsi="Calibri"/>
          <w:color w:val="002060"/>
          <w:lang w:eastAsia="en-GB"/>
        </w:rPr>
      </w:pPr>
      <w:r>
        <w:rPr>
          <w:rFonts w:ascii="Calibri" w:hAnsi="Calibri"/>
          <w:noProof/>
          <w:color w:val="002060"/>
        </w:rPr>
        <w:lastRenderedPageBreak/>
        <w:t>Acknowledgements</w:t>
      </w:r>
    </w:p>
    <w:p w:rsidR="000A66D7" w:rsidRDefault="000A66D7">
      <w:pPr>
        <w:pStyle w:val="Style2"/>
        <w:tabs>
          <w:tab w:val="clear" w:pos="-1440"/>
          <w:tab w:val="clear" w:pos="-720"/>
          <w:tab w:val="clear" w:pos="0"/>
          <w:tab w:val="clear" w:pos="720"/>
          <w:tab w:val="clear" w:pos="1440"/>
          <w:tab w:val="clear" w:pos="2160"/>
          <w:tab w:val="clear" w:pos="2880"/>
          <w:tab w:val="clear" w:pos="3600"/>
          <w:tab w:val="clear" w:pos="4320"/>
          <w:tab w:val="clear" w:pos="4752"/>
          <w:tab w:val="clear" w:pos="5760"/>
          <w:tab w:val="clear" w:pos="6480"/>
          <w:tab w:val="clear" w:pos="7200"/>
          <w:tab w:val="clear" w:pos="7920"/>
          <w:tab w:val="clear" w:pos="8640"/>
        </w:tabs>
        <w:spacing w:after="0"/>
        <w:rPr>
          <w:rFonts w:ascii="Cambria" w:hAnsi="Cambria"/>
          <w:noProof/>
        </w:rPr>
      </w:pPr>
      <w:r>
        <w:rPr>
          <w:rFonts w:ascii="Cambria" w:hAnsi="Cambria"/>
          <w:noProof/>
        </w:rPr>
        <w:t xml:space="preserve">This case study resource was developed by the School of Public Health (SOPH), University of the Western Cape (UWC) for use in our teaching. </w:t>
      </w:r>
      <w:r>
        <w:rPr>
          <w:rFonts w:ascii="Cambria" w:hAnsi="Cambria"/>
        </w:rPr>
        <w:t>The case is based on the experience of a medical doctor and student at the School of Public Health, University of the Western Cape, who was at the time working at a hospital in sub-Saharan Africa which served this informal settlement. The medical doctor wishes to remain anonymous to preserve the anonymity of those living in this settlement.</w:t>
      </w:r>
      <w:r>
        <w:rPr>
          <w:rFonts w:ascii="Cambria" w:hAnsi="Cambria"/>
          <w:noProof/>
        </w:rPr>
        <w:t xml:space="preserve"> Her contribution is gratefully acknowledged.</w:t>
      </w:r>
    </w:p>
    <w:p w:rsidR="000A66D7" w:rsidRDefault="000A66D7">
      <w:pPr>
        <w:rPr>
          <w:rFonts w:ascii="Cambria" w:hAnsi="Cambria" w:cs="Arial"/>
          <w:b/>
          <w:color w:val="021F59"/>
        </w:rPr>
      </w:pPr>
    </w:p>
    <w:p w:rsidR="000A66D7" w:rsidRDefault="000A66D7">
      <w:pPr>
        <w:rPr>
          <w:rFonts w:ascii="Cambria" w:hAnsi="Cambria" w:cs="Arial"/>
          <w:noProof/>
        </w:rPr>
      </w:pPr>
      <w:r>
        <w:rPr>
          <w:rFonts w:ascii="Cambria" w:hAnsi="Cambria" w:cs="Arial"/>
          <w:b/>
          <w:color w:val="021F59"/>
        </w:rPr>
        <w:t>Institution where the case study was developed:</w:t>
      </w:r>
      <w:r>
        <w:rPr>
          <w:rFonts w:ascii="Cambria" w:hAnsi="Cambria" w:cs="Arial"/>
          <w:noProof/>
        </w:rPr>
        <w:t xml:space="preserve"> University of the Western Cape (UWC), School of Public Health (SOPH).</w:t>
      </w:r>
    </w:p>
    <w:p w:rsidR="000A66D7" w:rsidRDefault="000A66D7">
      <w:pPr>
        <w:rPr>
          <w:rFonts w:ascii="Cambria" w:hAnsi="Cambria" w:cs="Arial"/>
          <w:noProof/>
        </w:rPr>
      </w:pPr>
    </w:p>
    <w:p w:rsidR="000A66D7" w:rsidRDefault="000A66D7">
      <w:pPr>
        <w:rPr>
          <w:rFonts w:ascii="Cambria" w:hAnsi="Cambria" w:cs="Arial"/>
        </w:rPr>
      </w:pPr>
      <w:r>
        <w:rPr>
          <w:rFonts w:ascii="Cambria" w:hAnsi="Cambria" w:cs="Arial"/>
          <w:b/>
          <w:color w:val="021F59"/>
        </w:rPr>
        <w:t>Content submitted by</w:t>
      </w:r>
      <w:r>
        <w:rPr>
          <w:rFonts w:ascii="Cambria" w:hAnsi="Cambria" w:cs="Arial"/>
          <w:b/>
        </w:rPr>
        <w:t xml:space="preserve">: </w:t>
      </w:r>
      <w:r>
        <w:rPr>
          <w:rFonts w:ascii="Cambria" w:hAnsi="Cambria" w:cs="Arial"/>
        </w:rPr>
        <w:t>Lucy Alexander, Senior Academic Programme Co-ordinator, SOPH, UWC.</w:t>
      </w:r>
    </w:p>
    <w:p w:rsidR="000A66D7" w:rsidRDefault="000A66D7">
      <w:pPr>
        <w:rPr>
          <w:rFonts w:ascii="Cambria" w:hAnsi="Cambria" w:cs="Arial"/>
          <w:b/>
          <w:color w:val="021F59"/>
        </w:rPr>
      </w:pPr>
    </w:p>
    <w:p w:rsidR="000A66D7" w:rsidRDefault="000A66D7">
      <w:pPr>
        <w:rPr>
          <w:rFonts w:ascii="Cambria" w:eastAsia="Arial Unicode MS" w:hAnsi="Cambria" w:cs="Arial"/>
          <w:bCs/>
          <w:sz w:val="24"/>
          <w:szCs w:val="24"/>
        </w:rPr>
      </w:pPr>
      <w:r>
        <w:rPr>
          <w:rFonts w:ascii="Cambria" w:hAnsi="Cambria" w:cs="Arial"/>
          <w:b/>
          <w:color w:val="021F59"/>
        </w:rPr>
        <w:t>Author/s:</w:t>
      </w:r>
      <w:r>
        <w:rPr>
          <w:rFonts w:ascii="Cambria" w:hAnsi="Cambria" w:cs="Arial"/>
          <w:b/>
        </w:rPr>
        <w:t xml:space="preserve"> </w:t>
      </w:r>
      <w:r>
        <w:rPr>
          <w:rFonts w:ascii="Cambria" w:hAnsi="Cambria" w:cs="Arial"/>
          <w:bCs/>
        </w:rPr>
        <w:t>Content was developed by a SOPH MPH student and written into the case study by Lucy Alexander, SOPH with suggestions from the content reviewer.</w:t>
      </w:r>
    </w:p>
    <w:p w:rsidR="000A66D7" w:rsidRDefault="000A66D7">
      <w:pPr>
        <w:rPr>
          <w:rFonts w:ascii="Cambria" w:hAnsi="Cambria" w:cs="Arial"/>
        </w:rPr>
      </w:pPr>
    </w:p>
    <w:p w:rsidR="000A66D7" w:rsidRDefault="000A66D7">
      <w:pPr>
        <w:rPr>
          <w:rFonts w:ascii="Cambria" w:hAnsi="Cambria" w:cs="Arial"/>
        </w:rPr>
      </w:pPr>
      <w:r>
        <w:rPr>
          <w:rFonts w:ascii="Cambria" w:hAnsi="Cambria" w:cs="Arial"/>
          <w:b/>
          <w:bCs/>
          <w:color w:val="000066"/>
        </w:rPr>
        <w:t xml:space="preserve">Content reviewer: </w:t>
      </w:r>
      <w:r>
        <w:rPr>
          <w:rFonts w:ascii="Cambria" w:hAnsi="Cambria" w:cs="Arial"/>
        </w:rPr>
        <w:t>Dr Ruth Stern, BSc (</w:t>
      </w:r>
      <w:proofErr w:type="spellStart"/>
      <w:r>
        <w:rPr>
          <w:rFonts w:ascii="Cambria" w:hAnsi="Cambria" w:cs="Arial"/>
        </w:rPr>
        <w:t>Physio</w:t>
      </w:r>
      <w:proofErr w:type="spellEnd"/>
      <w:r>
        <w:rPr>
          <w:rFonts w:ascii="Cambria" w:hAnsi="Cambria" w:cs="Arial"/>
        </w:rPr>
        <w:t>) (Wits), Dip Health Promotion (</w:t>
      </w:r>
      <w:proofErr w:type="spellStart"/>
      <w:r>
        <w:rPr>
          <w:rFonts w:ascii="Cambria" w:hAnsi="Cambria" w:cs="Arial"/>
        </w:rPr>
        <w:t>Lond</w:t>
      </w:r>
      <w:proofErr w:type="spellEnd"/>
      <w:r>
        <w:rPr>
          <w:rFonts w:ascii="Cambria" w:hAnsi="Cambria" w:cs="Arial"/>
        </w:rPr>
        <w:t>), MA (</w:t>
      </w:r>
      <w:proofErr w:type="spellStart"/>
      <w:r>
        <w:rPr>
          <w:rFonts w:ascii="Cambria" w:hAnsi="Cambria" w:cs="Arial"/>
        </w:rPr>
        <w:t>Lond</w:t>
      </w:r>
      <w:proofErr w:type="spellEnd"/>
      <w:r>
        <w:rPr>
          <w:rFonts w:ascii="Cambria" w:hAnsi="Cambria" w:cs="Arial"/>
        </w:rPr>
        <w:t xml:space="preserve">), </w:t>
      </w:r>
      <w:proofErr w:type="spellStart"/>
      <w:r>
        <w:rPr>
          <w:rFonts w:ascii="Cambria" w:hAnsi="Cambria" w:cs="Arial"/>
        </w:rPr>
        <w:t>DrPH</w:t>
      </w:r>
      <w:proofErr w:type="spellEnd"/>
      <w:r>
        <w:rPr>
          <w:rFonts w:ascii="Cambria" w:hAnsi="Cambria" w:cs="Arial"/>
        </w:rPr>
        <w:t xml:space="preserve"> (</w:t>
      </w:r>
      <w:proofErr w:type="spellStart"/>
      <w:r>
        <w:rPr>
          <w:rFonts w:ascii="Cambria" w:hAnsi="Cambria" w:cs="Arial"/>
        </w:rPr>
        <w:t>Lond</w:t>
      </w:r>
      <w:proofErr w:type="spellEnd"/>
      <w:r>
        <w:rPr>
          <w:rFonts w:ascii="Cambria" w:hAnsi="Cambria" w:cs="Arial"/>
        </w:rPr>
        <w:t>)</w:t>
      </w:r>
      <w:proofErr w:type="gramStart"/>
      <w:r>
        <w:rPr>
          <w:rFonts w:ascii="Cambria" w:hAnsi="Cambria" w:cs="Arial"/>
        </w:rPr>
        <w:t>.,</w:t>
      </w:r>
      <w:proofErr w:type="gramEnd"/>
      <w:r>
        <w:rPr>
          <w:rFonts w:ascii="Cambria" w:hAnsi="Cambria" w:cs="Arial"/>
        </w:rPr>
        <w:t xml:space="preserve"> OPH, UWC</w:t>
      </w:r>
    </w:p>
    <w:p w:rsidR="000A66D7" w:rsidRDefault="000A66D7">
      <w:pPr>
        <w:rPr>
          <w:rFonts w:ascii="Cambria" w:hAnsi="Cambria" w:cs="Arial"/>
        </w:rPr>
      </w:pPr>
    </w:p>
    <w:p w:rsidR="000A66D7" w:rsidRDefault="000A66D7">
      <w:pPr>
        <w:rPr>
          <w:rFonts w:ascii="Cambria" w:hAnsi="Cambria" w:cs="Arial"/>
        </w:rPr>
      </w:pPr>
      <w:r>
        <w:rPr>
          <w:rFonts w:ascii="Cambria" w:hAnsi="Cambria" w:cs="Arial"/>
          <w:b/>
          <w:bCs/>
          <w:color w:val="000066"/>
        </w:rPr>
        <w:t>Editor:</w:t>
      </w:r>
      <w:r>
        <w:rPr>
          <w:rFonts w:ascii="Cambria" w:hAnsi="Cambria" w:cs="Arial"/>
          <w:b/>
          <w:bCs/>
        </w:rPr>
        <w:t xml:space="preserve"> </w:t>
      </w:r>
      <w:r>
        <w:rPr>
          <w:rFonts w:ascii="Cambria" w:hAnsi="Cambria" w:cs="Arial"/>
          <w:bCs/>
        </w:rPr>
        <w:t>Lucy Alexander,</w:t>
      </w:r>
      <w:r>
        <w:rPr>
          <w:rFonts w:ascii="Cambria" w:hAnsi="Cambria" w:cs="Arial"/>
        </w:rPr>
        <w:t xml:space="preserve"> Senior Academic Programme Co-ordinator, SOPH, UWC.</w:t>
      </w:r>
    </w:p>
    <w:p w:rsidR="000A66D7" w:rsidRDefault="000A66D7">
      <w:pPr>
        <w:rPr>
          <w:rFonts w:ascii="Cambria" w:hAnsi="Cambria" w:cs="Arial"/>
          <w:b/>
          <w:color w:val="021F59"/>
        </w:rPr>
      </w:pPr>
    </w:p>
    <w:p w:rsidR="000A66D7" w:rsidRDefault="000A66D7">
      <w:pPr>
        <w:rPr>
          <w:rFonts w:ascii="Cambria" w:hAnsi="Cambria" w:cs="Arial"/>
          <w:noProof/>
        </w:rPr>
      </w:pPr>
      <w:r>
        <w:rPr>
          <w:rFonts w:ascii="Cambria" w:hAnsi="Cambria" w:cs="Arial"/>
          <w:b/>
          <w:color w:val="021F59"/>
        </w:rPr>
        <w:t xml:space="preserve">Links to related Postgraduate Programme modules: </w:t>
      </w:r>
      <w:r>
        <w:rPr>
          <w:rFonts w:ascii="Cambria" w:hAnsi="Cambria" w:cs="Arial"/>
          <w:noProof/>
        </w:rPr>
        <w:t xml:space="preserve">Relevant to </w:t>
      </w:r>
      <w:r>
        <w:rPr>
          <w:rFonts w:ascii="Cambria" w:hAnsi="Cambria" w:cs="Arial"/>
          <w:i/>
          <w:iCs/>
          <w:noProof/>
        </w:rPr>
        <w:t xml:space="preserve">Introducing Public Health: Its Basis and Scope, </w:t>
      </w:r>
      <w:r>
        <w:rPr>
          <w:rFonts w:ascii="Cambria" w:hAnsi="Cambria" w:cs="Arial"/>
          <w:noProof/>
        </w:rPr>
        <w:t xml:space="preserve">and most other Postgraduate Diploma in Public Health and Masters in Public Health modules which address programmatic interventions. </w:t>
      </w:r>
    </w:p>
    <w:p w:rsidR="000A66D7" w:rsidRDefault="000A66D7">
      <w:pPr>
        <w:rPr>
          <w:rFonts w:ascii="Cambria" w:hAnsi="Cambria" w:cs="Arial"/>
          <w:b/>
          <w:color w:val="021F59"/>
        </w:rPr>
      </w:pPr>
    </w:p>
    <w:p w:rsidR="000A66D7" w:rsidRDefault="000A66D7">
      <w:pPr>
        <w:rPr>
          <w:rFonts w:ascii="Cambria" w:hAnsi="Cambria" w:cs="Arial"/>
          <w:noProof/>
        </w:rPr>
      </w:pPr>
      <w:r>
        <w:rPr>
          <w:rFonts w:ascii="Cambria" w:hAnsi="Cambria" w:cs="Arial"/>
          <w:b/>
          <w:color w:val="021F59"/>
        </w:rPr>
        <w:t>Financial support provided by:</w:t>
      </w:r>
      <w:r>
        <w:rPr>
          <w:rFonts w:ascii="Cambria" w:hAnsi="Cambria" w:cs="Arial"/>
          <w:b/>
          <w:color w:val="16AB1A"/>
        </w:rPr>
        <w:t xml:space="preserve"> </w:t>
      </w:r>
      <w:r>
        <w:rPr>
          <w:rFonts w:ascii="Cambria" w:hAnsi="Cambria" w:cs="Arial"/>
          <w:noProof/>
        </w:rPr>
        <w:t>Hewlett Foundation Education Program and facilitated by the African Health OER Project, University of Michigan and OER Africa. This acknowledgement in no way indicates endorsement of this work.</w:t>
      </w:r>
    </w:p>
    <w:p w:rsidR="000A66D7" w:rsidRDefault="000A66D7">
      <w:pPr>
        <w:pStyle w:val="TOCHeading"/>
        <w:rPr>
          <w:noProof/>
          <w:sz w:val="20"/>
        </w:rPr>
      </w:pPr>
      <w:r>
        <w:rPr>
          <w:noProof/>
          <w:sz w:val="20"/>
        </w:rPr>
        <w:br w:type="page"/>
      </w:r>
    </w:p>
    <w:tbl>
      <w:tblPr>
        <w:tblW w:w="5000" w:type="pct"/>
        <w:tblCellMar>
          <w:bottom w:w="170" w:type="dxa"/>
          <w:right w:w="170" w:type="dxa"/>
        </w:tblCellMar>
        <w:tblLook w:val="01E0" w:firstRow="1" w:lastRow="1" w:firstColumn="1" w:lastColumn="1" w:noHBand="0" w:noVBand="0"/>
      </w:tblPr>
      <w:tblGrid>
        <w:gridCol w:w="8146"/>
        <w:gridCol w:w="1612"/>
      </w:tblGrid>
      <w:tr w:rsidR="000A66D7" w:rsidTr="00E152B5">
        <w:trPr>
          <w:cantSplit/>
          <w:trHeight w:val="5389"/>
        </w:trPr>
        <w:tc>
          <w:tcPr>
            <w:tcW w:w="4174" w:type="pct"/>
          </w:tcPr>
          <w:p w:rsidR="000A66D7" w:rsidRDefault="000A66D7">
            <w:pPr>
              <w:pStyle w:val="Heading1"/>
              <w:spacing w:after="0"/>
              <w:rPr>
                <w:noProof/>
                <w:color w:val="auto"/>
              </w:rPr>
            </w:pPr>
          </w:p>
          <w:p w:rsidR="000A66D7" w:rsidRDefault="000A66D7">
            <w:pPr>
              <w:pStyle w:val="Heading1"/>
              <w:spacing w:after="0"/>
              <w:rPr>
                <w:noProof/>
                <w:color w:val="auto"/>
              </w:rPr>
            </w:pPr>
            <w:r>
              <w:rPr>
                <w:noProof/>
                <w:color w:val="auto"/>
              </w:rPr>
              <w:t xml:space="preserve">Contents </w:t>
            </w:r>
            <w:bookmarkStart w:id="5" w:name="_Toc302052647"/>
          </w:p>
          <w:p w:rsidR="000A66D7" w:rsidRDefault="000A66D7">
            <w:pPr>
              <w:pStyle w:val="Heading1"/>
              <w:spacing w:after="0"/>
              <w:rPr>
                <w:noProof/>
                <w:color w:val="auto"/>
              </w:rPr>
            </w:pPr>
          </w:p>
          <w:p w:rsidR="000A66D7" w:rsidRDefault="000A66D7">
            <w:pPr>
              <w:pStyle w:val="Heading1"/>
              <w:spacing w:after="0"/>
              <w:rPr>
                <w:rFonts w:ascii="Cambria" w:hAnsi="Cambria"/>
                <w:b w:val="0"/>
                <w:bCs w:val="0"/>
                <w:color w:val="auto"/>
                <w:sz w:val="22"/>
                <w:szCs w:val="22"/>
              </w:rPr>
            </w:pPr>
            <w:r>
              <w:rPr>
                <w:rFonts w:ascii="Cambria" w:hAnsi="Cambria"/>
                <w:b w:val="0"/>
                <w:bCs w:val="0"/>
                <w:color w:val="auto"/>
                <w:sz w:val="22"/>
                <w:szCs w:val="22"/>
                <w:lang w:val="en-US"/>
              </w:rPr>
              <w:t xml:space="preserve">SECTION 1 - </w:t>
            </w:r>
            <w:r>
              <w:rPr>
                <w:rFonts w:ascii="Cambria" w:hAnsi="Cambria"/>
                <w:b w:val="0"/>
                <w:bCs w:val="0"/>
                <w:color w:val="auto"/>
                <w:sz w:val="22"/>
                <w:szCs w:val="22"/>
              </w:rPr>
              <w:t xml:space="preserve">Topic Rationale </w:t>
            </w:r>
            <w:r>
              <w:rPr>
                <w:rFonts w:ascii="Cambria" w:hAnsi="Cambria"/>
                <w:b w:val="0"/>
                <w:bCs w:val="0"/>
                <w:sz w:val="22"/>
                <w:szCs w:val="22"/>
              </w:rPr>
              <w:t xml:space="preserve">……..…………………………...................................…..…  </w:t>
            </w:r>
          </w:p>
          <w:p w:rsidR="000A66D7" w:rsidRDefault="000A66D7">
            <w:pPr>
              <w:pStyle w:val="Heading1"/>
              <w:spacing w:before="120" w:after="0"/>
              <w:rPr>
                <w:rFonts w:ascii="Cambria" w:hAnsi="Cambria"/>
                <w:b w:val="0"/>
                <w:bCs w:val="0"/>
                <w:color w:val="auto"/>
                <w:sz w:val="22"/>
                <w:szCs w:val="22"/>
              </w:rPr>
            </w:pPr>
            <w:r>
              <w:rPr>
                <w:rFonts w:ascii="Cambria" w:hAnsi="Cambria"/>
                <w:b w:val="0"/>
                <w:bCs w:val="0"/>
                <w:color w:val="auto"/>
                <w:sz w:val="22"/>
                <w:szCs w:val="22"/>
                <w:lang w:val="en-US"/>
              </w:rPr>
              <w:t xml:space="preserve">SECTION 2 - </w:t>
            </w:r>
            <w:r>
              <w:rPr>
                <w:rFonts w:ascii="Cambria" w:hAnsi="Cambria"/>
                <w:b w:val="0"/>
                <w:bCs w:val="0"/>
                <w:color w:val="auto"/>
                <w:sz w:val="22"/>
                <w:szCs w:val="22"/>
              </w:rPr>
              <w:t xml:space="preserve">Learning Input </w:t>
            </w:r>
            <w:r>
              <w:rPr>
                <w:rFonts w:ascii="Cambria" w:hAnsi="Cambria"/>
                <w:b w:val="0"/>
                <w:bCs w:val="0"/>
                <w:sz w:val="22"/>
                <w:szCs w:val="22"/>
              </w:rPr>
              <w:t>……..……………………………...................................…...</w:t>
            </w:r>
          </w:p>
          <w:p w:rsidR="000A66D7" w:rsidRDefault="000A66D7">
            <w:pPr>
              <w:pStyle w:val="Heading2"/>
              <w:spacing w:before="120" w:after="0"/>
              <w:rPr>
                <w:rFonts w:ascii="Cambria" w:hAnsi="Cambria"/>
                <w:b w:val="0"/>
                <w:bCs w:val="0"/>
                <w:color w:val="auto"/>
                <w:sz w:val="22"/>
                <w:szCs w:val="22"/>
              </w:rPr>
            </w:pPr>
            <w:r>
              <w:rPr>
                <w:rFonts w:ascii="Cambria" w:hAnsi="Cambria"/>
                <w:b w:val="0"/>
                <w:bCs w:val="0"/>
                <w:color w:val="auto"/>
                <w:sz w:val="22"/>
                <w:szCs w:val="22"/>
              </w:rPr>
              <w:t xml:space="preserve">2.1 </w:t>
            </w:r>
            <w:r>
              <w:rPr>
                <w:rFonts w:ascii="Cambria" w:hAnsi="Cambria"/>
                <w:b w:val="0"/>
                <w:bCs w:val="0"/>
                <w:color w:val="auto"/>
                <w:sz w:val="22"/>
                <w:szCs w:val="22"/>
              </w:rPr>
              <w:tab/>
              <w:t xml:space="preserve">Setting and Population </w:t>
            </w:r>
            <w:r>
              <w:rPr>
                <w:rFonts w:ascii="Cambria" w:hAnsi="Cambria"/>
                <w:b w:val="0"/>
                <w:bCs w:val="0"/>
                <w:sz w:val="22"/>
                <w:szCs w:val="22"/>
              </w:rPr>
              <w:t>……..…………………….............................…………....</w:t>
            </w:r>
          </w:p>
          <w:p w:rsidR="000A66D7" w:rsidRDefault="000A66D7">
            <w:pPr>
              <w:pStyle w:val="TOCHeading"/>
              <w:spacing w:after="0"/>
              <w:rPr>
                <w:rFonts w:ascii="Cambria" w:hAnsi="Cambria"/>
                <w:b w:val="0"/>
                <w:bCs w:val="0"/>
                <w:noProof/>
                <w:color w:val="auto"/>
                <w:sz w:val="22"/>
                <w:szCs w:val="22"/>
              </w:rPr>
            </w:pPr>
            <w:r>
              <w:rPr>
                <w:rFonts w:ascii="Cambria" w:hAnsi="Cambria"/>
                <w:b w:val="0"/>
                <w:bCs w:val="0"/>
                <w:color w:val="auto"/>
                <w:sz w:val="22"/>
                <w:szCs w:val="22"/>
              </w:rPr>
              <w:t xml:space="preserve">2.2 </w:t>
            </w:r>
            <w:r>
              <w:rPr>
                <w:rFonts w:ascii="Cambria" w:hAnsi="Cambria"/>
                <w:b w:val="0"/>
                <w:bCs w:val="0"/>
                <w:color w:val="auto"/>
                <w:sz w:val="22"/>
                <w:szCs w:val="22"/>
              </w:rPr>
              <w:tab/>
              <w:t xml:space="preserve">Learning </w:t>
            </w:r>
            <w:proofErr w:type="gramStart"/>
            <w:r>
              <w:rPr>
                <w:rFonts w:ascii="Cambria" w:hAnsi="Cambria"/>
                <w:b w:val="0"/>
                <w:bCs w:val="0"/>
                <w:color w:val="auto"/>
                <w:sz w:val="22"/>
                <w:szCs w:val="22"/>
              </w:rPr>
              <w:t>Objectives .</w:t>
            </w:r>
            <w:proofErr w:type="gramEnd"/>
            <w:r>
              <w:rPr>
                <w:rFonts w:ascii="Cambria" w:hAnsi="Cambria"/>
                <w:b w:val="0"/>
                <w:bCs w:val="0"/>
                <w:sz w:val="22"/>
                <w:szCs w:val="22"/>
              </w:rPr>
              <w:t>……..………………………..….............................………....</w:t>
            </w:r>
          </w:p>
          <w:p w:rsidR="000A66D7" w:rsidRDefault="000A66D7">
            <w:pPr>
              <w:pStyle w:val="Heading1"/>
              <w:spacing w:after="0"/>
              <w:rPr>
                <w:rFonts w:ascii="Cambria" w:hAnsi="Cambria"/>
                <w:b w:val="0"/>
                <w:bCs w:val="0"/>
                <w:color w:val="auto"/>
                <w:sz w:val="22"/>
                <w:szCs w:val="22"/>
                <w:lang w:val="en-US"/>
              </w:rPr>
            </w:pPr>
            <w:r>
              <w:rPr>
                <w:rFonts w:ascii="Cambria" w:hAnsi="Cambria"/>
                <w:b w:val="0"/>
                <w:bCs w:val="0"/>
                <w:color w:val="auto"/>
                <w:sz w:val="22"/>
                <w:szCs w:val="22"/>
              </w:rPr>
              <w:t xml:space="preserve">2.3 </w:t>
            </w:r>
            <w:r>
              <w:rPr>
                <w:rFonts w:ascii="Cambria" w:hAnsi="Cambria"/>
                <w:b w:val="0"/>
                <w:bCs w:val="0"/>
                <w:color w:val="auto"/>
                <w:sz w:val="22"/>
                <w:szCs w:val="22"/>
              </w:rPr>
              <w:tab/>
              <w:t xml:space="preserve">Learning Activity 1 – Understanding </w:t>
            </w:r>
            <w:proofErr w:type="spellStart"/>
            <w:r w:rsidR="00E152B5">
              <w:rPr>
                <w:rFonts w:ascii="Cambria" w:hAnsi="Cambria"/>
                <w:b w:val="0"/>
                <w:bCs w:val="0"/>
                <w:color w:val="auto"/>
                <w:sz w:val="22"/>
                <w:szCs w:val="22"/>
              </w:rPr>
              <w:t>D</w:t>
            </w:r>
            <w:r>
              <w:rPr>
                <w:rFonts w:ascii="Cambria" w:hAnsi="Cambria"/>
                <w:b w:val="0"/>
                <w:bCs w:val="0"/>
                <w:color w:val="auto"/>
                <w:sz w:val="22"/>
                <w:szCs w:val="22"/>
              </w:rPr>
              <w:t>iarrhea</w:t>
            </w:r>
            <w:proofErr w:type="spellEnd"/>
            <w:r>
              <w:rPr>
                <w:rFonts w:ascii="Cambria" w:hAnsi="Cambria"/>
                <w:b w:val="0"/>
                <w:bCs w:val="0"/>
                <w:sz w:val="22"/>
                <w:szCs w:val="22"/>
              </w:rPr>
              <w:t>….....................……….....</w:t>
            </w:r>
          </w:p>
          <w:p w:rsidR="000A66D7" w:rsidRDefault="000A66D7">
            <w:pPr>
              <w:pStyle w:val="Heading1"/>
              <w:spacing w:after="0"/>
              <w:rPr>
                <w:rFonts w:ascii="Cambria" w:hAnsi="Cambria"/>
                <w:b w:val="0"/>
                <w:bCs w:val="0"/>
                <w:color w:val="auto"/>
                <w:sz w:val="22"/>
                <w:szCs w:val="22"/>
              </w:rPr>
            </w:pPr>
            <w:r>
              <w:rPr>
                <w:rFonts w:ascii="Cambria" w:hAnsi="Cambria"/>
                <w:b w:val="0"/>
                <w:bCs w:val="0"/>
                <w:color w:val="auto"/>
                <w:sz w:val="22"/>
                <w:szCs w:val="22"/>
              </w:rPr>
              <w:t xml:space="preserve">2.4   </w:t>
            </w:r>
            <w:r>
              <w:rPr>
                <w:rFonts w:ascii="Cambria" w:hAnsi="Cambria"/>
                <w:b w:val="0"/>
                <w:bCs w:val="0"/>
                <w:color w:val="auto"/>
                <w:sz w:val="22"/>
                <w:szCs w:val="22"/>
              </w:rPr>
              <w:tab/>
              <w:t xml:space="preserve">Learning Activity 2 – Considering the causes of </w:t>
            </w:r>
            <w:proofErr w:type="spellStart"/>
            <w:r w:rsidR="00E152B5">
              <w:rPr>
                <w:rFonts w:ascii="Cambria" w:hAnsi="Cambria"/>
                <w:b w:val="0"/>
                <w:bCs w:val="0"/>
                <w:color w:val="auto"/>
                <w:sz w:val="22"/>
                <w:szCs w:val="22"/>
              </w:rPr>
              <w:t>D</w:t>
            </w:r>
            <w:r>
              <w:rPr>
                <w:rFonts w:ascii="Cambria" w:hAnsi="Cambria"/>
                <w:b w:val="0"/>
                <w:bCs w:val="0"/>
                <w:color w:val="auto"/>
                <w:sz w:val="22"/>
                <w:szCs w:val="22"/>
              </w:rPr>
              <w:t>iarrhea</w:t>
            </w:r>
            <w:proofErr w:type="spellEnd"/>
            <w:r>
              <w:rPr>
                <w:rFonts w:ascii="Cambria" w:hAnsi="Cambria"/>
                <w:b w:val="0"/>
                <w:bCs w:val="0"/>
                <w:color w:val="auto"/>
                <w:sz w:val="22"/>
                <w:szCs w:val="22"/>
              </w:rPr>
              <w:t xml:space="preserve"> in </w:t>
            </w:r>
          </w:p>
          <w:p w:rsidR="000A66D7" w:rsidRDefault="000A66D7">
            <w:pPr>
              <w:pStyle w:val="Heading1"/>
              <w:spacing w:after="0"/>
              <w:rPr>
                <w:rFonts w:ascii="Cambria" w:hAnsi="Cambria"/>
                <w:b w:val="0"/>
                <w:bCs w:val="0"/>
                <w:color w:val="auto"/>
                <w:sz w:val="22"/>
                <w:szCs w:val="22"/>
                <w:lang w:val="en-US"/>
              </w:rPr>
            </w:pPr>
            <w:r>
              <w:rPr>
                <w:rFonts w:ascii="Cambria" w:hAnsi="Cambria"/>
                <w:b w:val="0"/>
                <w:bCs w:val="0"/>
                <w:color w:val="auto"/>
                <w:sz w:val="22"/>
                <w:szCs w:val="22"/>
              </w:rPr>
              <w:t xml:space="preserve">               </w:t>
            </w:r>
            <w:proofErr w:type="spellStart"/>
            <w:r>
              <w:rPr>
                <w:rFonts w:ascii="Cambria" w:hAnsi="Cambria"/>
                <w:b w:val="0"/>
                <w:bCs w:val="0"/>
                <w:color w:val="auto"/>
                <w:sz w:val="22"/>
                <w:szCs w:val="22"/>
              </w:rPr>
              <w:t>Kavu</w:t>
            </w:r>
            <w:proofErr w:type="spellEnd"/>
            <w:r>
              <w:rPr>
                <w:rFonts w:ascii="Cambria" w:hAnsi="Cambria"/>
                <w:b w:val="0"/>
                <w:bCs w:val="0"/>
                <w:color w:val="auto"/>
                <w:sz w:val="22"/>
                <w:szCs w:val="22"/>
              </w:rPr>
              <w:t xml:space="preserve"> </w:t>
            </w:r>
            <w:proofErr w:type="spellStart"/>
            <w:r>
              <w:rPr>
                <w:rFonts w:ascii="Cambria" w:hAnsi="Cambria"/>
                <w:b w:val="0"/>
                <w:bCs w:val="0"/>
                <w:color w:val="auto"/>
                <w:sz w:val="22"/>
                <w:szCs w:val="22"/>
              </w:rPr>
              <w:t>Mahali</w:t>
            </w:r>
            <w:proofErr w:type="spellEnd"/>
            <w:r>
              <w:rPr>
                <w:rFonts w:ascii="Cambria" w:hAnsi="Cambria"/>
                <w:b w:val="0"/>
                <w:bCs w:val="0"/>
                <w:color w:val="auto"/>
                <w:sz w:val="22"/>
                <w:szCs w:val="22"/>
              </w:rPr>
              <w:t xml:space="preserve"> </w:t>
            </w:r>
            <w:r>
              <w:rPr>
                <w:rFonts w:ascii="Cambria" w:hAnsi="Cambria"/>
                <w:b w:val="0"/>
                <w:bCs w:val="0"/>
                <w:sz w:val="22"/>
                <w:szCs w:val="22"/>
              </w:rPr>
              <w:t>…….................………….....................................................................</w:t>
            </w:r>
          </w:p>
          <w:p w:rsidR="000A66D7" w:rsidRDefault="000A66D7">
            <w:pPr>
              <w:pStyle w:val="NoSpacing"/>
              <w:keepNext/>
              <w:spacing w:before="240"/>
              <w:outlineLvl w:val="1"/>
              <w:rPr>
                <w:rFonts w:ascii="Cambria" w:hAnsi="Cambria"/>
                <w:kern w:val="28"/>
              </w:rPr>
            </w:pPr>
            <w:r>
              <w:rPr>
                <w:rFonts w:ascii="Cambria" w:hAnsi="Cambria"/>
                <w:kern w:val="28"/>
                <w:lang w:val="en-US"/>
              </w:rPr>
              <w:t xml:space="preserve">SECTION 3 - </w:t>
            </w:r>
            <w:r>
              <w:rPr>
                <w:rFonts w:ascii="Cambria" w:hAnsi="Cambria"/>
                <w:kern w:val="28"/>
              </w:rPr>
              <w:t>Case Context ...</w:t>
            </w:r>
            <w:r>
              <w:rPr>
                <w:rFonts w:ascii="Cambria" w:hAnsi="Cambria"/>
              </w:rPr>
              <w:t>…..……………………...........................................................</w:t>
            </w:r>
          </w:p>
          <w:p w:rsidR="000A66D7" w:rsidRDefault="000A66D7">
            <w:pPr>
              <w:pStyle w:val="Revision"/>
              <w:spacing w:before="240"/>
              <w:rPr>
                <w:rFonts w:ascii="Cambria" w:hAnsi="Cambria"/>
              </w:rPr>
            </w:pPr>
            <w:r>
              <w:rPr>
                <w:rFonts w:ascii="Cambria" w:hAnsi="Cambria" w:cs="Arial"/>
              </w:rPr>
              <w:t xml:space="preserve">3.1 </w:t>
            </w:r>
            <w:r>
              <w:rPr>
                <w:rFonts w:ascii="Cambria" w:hAnsi="Cambria" w:cs="Arial"/>
              </w:rPr>
              <w:tab/>
              <w:t xml:space="preserve">The environment </w:t>
            </w:r>
            <w:r>
              <w:rPr>
                <w:rFonts w:ascii="Cambria" w:hAnsi="Cambria"/>
              </w:rPr>
              <w:t>……..…………………................................................................</w:t>
            </w:r>
          </w:p>
          <w:p w:rsidR="000A66D7" w:rsidRDefault="000A66D7">
            <w:pPr>
              <w:pStyle w:val="Revision"/>
              <w:rPr>
                <w:rFonts w:ascii="Cambria" w:hAnsi="Cambria"/>
                <w:iCs/>
              </w:rPr>
            </w:pPr>
            <w:r>
              <w:rPr>
                <w:rFonts w:ascii="Cambria" w:hAnsi="Cambria"/>
                <w:iCs/>
              </w:rPr>
              <w:t xml:space="preserve">3.2     </w:t>
            </w:r>
            <w:r>
              <w:rPr>
                <w:rFonts w:ascii="Cambria" w:hAnsi="Cambria"/>
                <w:iCs/>
              </w:rPr>
              <w:tab/>
              <w:t xml:space="preserve">A significant health problem </w:t>
            </w:r>
            <w:r>
              <w:rPr>
                <w:rFonts w:ascii="Cambria" w:hAnsi="Cambria"/>
              </w:rPr>
              <w:t>…………..………………………………..……......</w:t>
            </w:r>
          </w:p>
          <w:p w:rsidR="000A66D7" w:rsidRDefault="000A66D7">
            <w:pPr>
              <w:pStyle w:val="Heading1"/>
              <w:spacing w:before="240" w:after="0"/>
              <w:rPr>
                <w:rFonts w:ascii="Cambria" w:hAnsi="Cambria"/>
                <w:b w:val="0"/>
                <w:bCs w:val="0"/>
                <w:color w:val="auto"/>
                <w:sz w:val="22"/>
                <w:szCs w:val="22"/>
                <w:lang w:val="en-US"/>
              </w:rPr>
            </w:pPr>
            <w:r>
              <w:rPr>
                <w:rFonts w:ascii="Cambria" w:hAnsi="Cambria"/>
                <w:b w:val="0"/>
                <w:bCs w:val="0"/>
                <w:color w:val="auto"/>
                <w:sz w:val="22"/>
                <w:szCs w:val="22"/>
                <w:lang w:val="en-US"/>
              </w:rPr>
              <w:t>SECTION 4 – Planning Public Health Action …..</w:t>
            </w:r>
            <w:r>
              <w:rPr>
                <w:rFonts w:ascii="Cambria" w:hAnsi="Cambria"/>
                <w:b w:val="0"/>
                <w:bCs w:val="0"/>
                <w:sz w:val="22"/>
                <w:szCs w:val="22"/>
              </w:rPr>
              <w:t xml:space="preserve">….........………................................ </w:t>
            </w:r>
          </w:p>
          <w:p w:rsidR="000A66D7" w:rsidRDefault="000A66D7">
            <w:pPr>
              <w:pStyle w:val="Heading4"/>
              <w:spacing w:before="120" w:after="0"/>
              <w:rPr>
                <w:rFonts w:ascii="Cambria" w:hAnsi="Cambria"/>
                <w:b w:val="0"/>
                <w:bCs w:val="0"/>
              </w:rPr>
            </w:pPr>
            <w:r>
              <w:rPr>
                <w:rFonts w:ascii="Cambria" w:hAnsi="Cambria"/>
                <w:b w:val="0"/>
                <w:bCs w:val="0"/>
              </w:rPr>
              <w:t xml:space="preserve">4.1 </w:t>
            </w:r>
            <w:r>
              <w:rPr>
                <w:rFonts w:ascii="Cambria" w:hAnsi="Cambria"/>
                <w:b w:val="0"/>
                <w:bCs w:val="0"/>
              </w:rPr>
              <w:tab/>
              <w:t>A Public Health Action Implementation Cycle ....………….......................</w:t>
            </w:r>
          </w:p>
          <w:p w:rsidR="000A66D7" w:rsidRPr="00E152B5" w:rsidRDefault="000A66D7">
            <w:pPr>
              <w:pStyle w:val="Heading1"/>
              <w:spacing w:after="0"/>
              <w:ind w:left="720" w:hanging="720"/>
              <w:rPr>
                <w:rFonts w:ascii="Cambria" w:hAnsi="Cambria"/>
                <w:b w:val="0"/>
                <w:bCs w:val="0"/>
                <w:color w:val="auto"/>
                <w:kern w:val="0"/>
                <w:sz w:val="22"/>
                <w:szCs w:val="22"/>
              </w:rPr>
            </w:pPr>
            <w:r>
              <w:rPr>
                <w:rFonts w:ascii="Cambria" w:hAnsi="Cambria"/>
                <w:b w:val="0"/>
                <w:bCs w:val="0"/>
                <w:color w:val="auto"/>
                <w:sz w:val="22"/>
                <w:szCs w:val="22"/>
              </w:rPr>
              <w:t xml:space="preserve">4.2 </w:t>
            </w:r>
            <w:r>
              <w:rPr>
                <w:rFonts w:ascii="Cambria" w:hAnsi="Cambria"/>
                <w:b w:val="0"/>
                <w:bCs w:val="0"/>
                <w:color w:val="auto"/>
                <w:sz w:val="22"/>
                <w:szCs w:val="22"/>
              </w:rPr>
              <w:tab/>
              <w:t xml:space="preserve">Learning Activity 3 – Following a Public Health Action approach and planning an intervention for </w:t>
            </w:r>
            <w:proofErr w:type="spellStart"/>
            <w:proofErr w:type="gramStart"/>
            <w:r>
              <w:rPr>
                <w:rFonts w:ascii="Cambria" w:hAnsi="Cambria"/>
                <w:b w:val="0"/>
                <w:bCs w:val="0"/>
                <w:color w:val="auto"/>
                <w:sz w:val="22"/>
                <w:szCs w:val="22"/>
              </w:rPr>
              <w:t>Kavu</w:t>
            </w:r>
            <w:proofErr w:type="spellEnd"/>
            <w:r>
              <w:rPr>
                <w:rFonts w:ascii="Cambria" w:hAnsi="Cambria"/>
                <w:b w:val="0"/>
                <w:bCs w:val="0"/>
                <w:color w:val="auto"/>
                <w:sz w:val="22"/>
                <w:szCs w:val="22"/>
              </w:rPr>
              <w:t xml:space="preserve"> </w:t>
            </w:r>
            <w:r w:rsidRPr="00E152B5">
              <w:rPr>
                <w:rFonts w:ascii="Cambria" w:hAnsi="Cambria"/>
                <w:b w:val="0"/>
                <w:bCs w:val="0"/>
                <w:color w:val="auto"/>
                <w:kern w:val="0"/>
                <w:sz w:val="22"/>
                <w:szCs w:val="22"/>
              </w:rPr>
              <w:t>..</w:t>
            </w:r>
            <w:proofErr w:type="gramEnd"/>
            <w:r w:rsidRPr="00E152B5">
              <w:rPr>
                <w:rFonts w:ascii="Cambria" w:hAnsi="Cambria"/>
                <w:b w:val="0"/>
                <w:bCs w:val="0"/>
                <w:color w:val="auto"/>
                <w:kern w:val="0"/>
                <w:sz w:val="22"/>
                <w:szCs w:val="22"/>
              </w:rPr>
              <w:t>…………..……….........................</w:t>
            </w:r>
          </w:p>
          <w:p w:rsidR="000A66D7" w:rsidRDefault="000A66D7">
            <w:pPr>
              <w:pStyle w:val="Heading1"/>
              <w:spacing w:after="0"/>
              <w:rPr>
                <w:rFonts w:ascii="Cambria" w:hAnsi="Cambria"/>
                <w:b w:val="0"/>
                <w:bCs w:val="0"/>
                <w:color w:val="auto"/>
                <w:sz w:val="22"/>
                <w:szCs w:val="22"/>
              </w:rPr>
            </w:pPr>
          </w:p>
          <w:p w:rsidR="000A66D7" w:rsidRDefault="000A66D7">
            <w:pPr>
              <w:pStyle w:val="Heading1"/>
              <w:spacing w:after="0"/>
              <w:rPr>
                <w:rFonts w:ascii="Cambria" w:hAnsi="Cambria"/>
                <w:b w:val="0"/>
                <w:bCs w:val="0"/>
                <w:color w:val="auto"/>
                <w:sz w:val="22"/>
                <w:szCs w:val="22"/>
                <w:highlight w:val="yellow"/>
              </w:rPr>
            </w:pPr>
            <w:r>
              <w:rPr>
                <w:rFonts w:ascii="Cambria" w:hAnsi="Cambria"/>
                <w:b w:val="0"/>
                <w:bCs w:val="0"/>
                <w:color w:val="auto"/>
                <w:sz w:val="22"/>
                <w:szCs w:val="22"/>
              </w:rPr>
              <w:t xml:space="preserve">Reference List and Additional </w:t>
            </w:r>
            <w:proofErr w:type="gramStart"/>
            <w:r>
              <w:rPr>
                <w:rFonts w:ascii="Cambria" w:hAnsi="Cambria"/>
                <w:b w:val="0"/>
                <w:bCs w:val="0"/>
                <w:color w:val="auto"/>
                <w:sz w:val="22"/>
                <w:szCs w:val="22"/>
              </w:rPr>
              <w:t>Readings .</w:t>
            </w:r>
            <w:proofErr w:type="gramEnd"/>
            <w:r>
              <w:rPr>
                <w:rFonts w:ascii="Cambria" w:hAnsi="Cambria"/>
                <w:b w:val="0"/>
                <w:bCs w:val="0"/>
                <w:sz w:val="22"/>
                <w:szCs w:val="22"/>
              </w:rPr>
              <w:t>……………..…….......................…….....…</w:t>
            </w:r>
          </w:p>
          <w:p w:rsidR="000A66D7" w:rsidRDefault="000A66D7">
            <w:pPr>
              <w:tabs>
                <w:tab w:val="left" w:pos="2296"/>
              </w:tabs>
              <w:rPr>
                <w:rFonts w:ascii="Cambria" w:hAnsi="Cambria" w:cs="Arial"/>
                <w:lang w:eastAsia="en-GB"/>
              </w:rPr>
            </w:pPr>
          </w:p>
          <w:p w:rsidR="000A66D7" w:rsidRDefault="000A66D7">
            <w:pPr>
              <w:tabs>
                <w:tab w:val="left" w:pos="2296"/>
              </w:tabs>
              <w:rPr>
                <w:rFonts w:ascii="Cambria" w:hAnsi="Cambria" w:cs="Arial"/>
              </w:rPr>
            </w:pPr>
            <w:r>
              <w:rPr>
                <w:rFonts w:ascii="Cambria" w:hAnsi="Cambria" w:cs="Arial"/>
                <w:lang w:eastAsia="en-GB"/>
              </w:rPr>
              <w:t xml:space="preserve">Addendum 1:  </w:t>
            </w:r>
            <w:r>
              <w:rPr>
                <w:rFonts w:ascii="Cambria" w:hAnsi="Cambria" w:cs="Arial"/>
              </w:rPr>
              <w:t xml:space="preserve">Submission to the South African Human Rights Commission: An Example of Advocacy </w:t>
            </w:r>
            <w:r>
              <w:rPr>
                <w:rFonts w:ascii="Cambria" w:hAnsi="Cambria"/>
              </w:rPr>
              <w:t>…..……………………...................................</w:t>
            </w:r>
          </w:p>
          <w:p w:rsidR="000A66D7" w:rsidRDefault="000A66D7">
            <w:pPr>
              <w:keepNext/>
              <w:spacing w:before="160" w:after="120"/>
              <w:rPr>
                <w:rFonts w:ascii="Arial Narrow" w:hAnsi="Arial Narrow"/>
                <w:b/>
                <w:noProof/>
                <w:lang w:eastAsia="en-ZA"/>
              </w:rPr>
            </w:pPr>
          </w:p>
          <w:p w:rsidR="000A66D7" w:rsidRDefault="000A66D7">
            <w:pPr>
              <w:keepNext/>
              <w:spacing w:before="160" w:after="120"/>
              <w:rPr>
                <w:rFonts w:ascii="Arial Narrow" w:hAnsi="Arial Narrow"/>
                <w:b/>
                <w:lang w:eastAsia="fr-CH"/>
              </w:rPr>
            </w:pPr>
          </w:p>
        </w:tc>
        <w:tc>
          <w:tcPr>
            <w:tcW w:w="826" w:type="pct"/>
          </w:tcPr>
          <w:p w:rsidR="000A66D7" w:rsidRDefault="000A66D7">
            <w:pPr>
              <w:keepNext/>
              <w:outlineLvl w:val="2"/>
              <w:rPr>
                <w:b/>
                <w:bCs/>
                <w:color w:val="17365D"/>
                <w:sz w:val="24"/>
                <w:szCs w:val="32"/>
              </w:rPr>
            </w:pPr>
          </w:p>
          <w:p w:rsidR="000A66D7" w:rsidRDefault="000A66D7">
            <w:pPr>
              <w:pStyle w:val="ListParagraph"/>
              <w:keepNext/>
              <w:ind w:left="2091" w:hanging="1890"/>
              <w:outlineLvl w:val="2"/>
            </w:pPr>
          </w:p>
          <w:p w:rsidR="000A66D7" w:rsidRDefault="000A66D7">
            <w:pPr>
              <w:pStyle w:val="ListParagraph"/>
              <w:keepNext/>
              <w:ind w:left="2091" w:hanging="1890"/>
              <w:outlineLvl w:val="2"/>
            </w:pPr>
          </w:p>
          <w:p w:rsidR="000A66D7" w:rsidRDefault="000A66D7">
            <w:pPr>
              <w:pStyle w:val="ListParagraph"/>
              <w:keepNext/>
              <w:ind w:left="2091" w:hanging="1890"/>
              <w:outlineLvl w:val="2"/>
            </w:pPr>
          </w:p>
          <w:p w:rsidR="000A66D7" w:rsidRDefault="000A66D7">
            <w:pPr>
              <w:pStyle w:val="ListParagraph"/>
              <w:keepNext/>
              <w:ind w:left="0"/>
              <w:outlineLvl w:val="2"/>
            </w:pPr>
          </w:p>
          <w:p w:rsidR="000A66D7" w:rsidRDefault="000A66D7">
            <w:pPr>
              <w:pStyle w:val="ListParagraph"/>
              <w:keepNext/>
              <w:ind w:left="0"/>
              <w:outlineLvl w:val="2"/>
            </w:pPr>
            <w:r>
              <w:t>7</w:t>
            </w:r>
          </w:p>
          <w:p w:rsidR="000A66D7" w:rsidRDefault="0024653C">
            <w:pPr>
              <w:pStyle w:val="ListParagraph"/>
              <w:keepNext/>
              <w:spacing w:before="120"/>
              <w:ind w:left="0"/>
              <w:outlineLvl w:val="2"/>
              <w:rPr>
                <w:bCs/>
                <w:color w:val="17365D"/>
                <w:szCs w:val="28"/>
              </w:rPr>
            </w:pPr>
            <w:r>
              <w:rPr>
                <w:bCs/>
                <w:color w:val="17365D"/>
                <w:szCs w:val="28"/>
              </w:rPr>
              <w:t>9</w:t>
            </w:r>
          </w:p>
          <w:p w:rsidR="000A66D7" w:rsidRDefault="0024653C">
            <w:pPr>
              <w:pStyle w:val="ListParagraph"/>
              <w:keepNext/>
              <w:spacing w:before="120"/>
              <w:ind w:left="0"/>
              <w:outlineLvl w:val="2"/>
              <w:rPr>
                <w:bCs/>
                <w:color w:val="17365D"/>
                <w:szCs w:val="28"/>
              </w:rPr>
            </w:pPr>
            <w:r>
              <w:rPr>
                <w:bCs/>
                <w:color w:val="17365D"/>
                <w:szCs w:val="28"/>
              </w:rPr>
              <w:t>9</w:t>
            </w:r>
          </w:p>
          <w:p w:rsidR="000A66D7" w:rsidRDefault="0024653C">
            <w:pPr>
              <w:pStyle w:val="ListParagraph"/>
              <w:keepNext/>
              <w:ind w:left="0"/>
              <w:outlineLvl w:val="2"/>
              <w:rPr>
                <w:bCs/>
                <w:color w:val="17365D"/>
                <w:szCs w:val="28"/>
              </w:rPr>
            </w:pPr>
            <w:r>
              <w:rPr>
                <w:bCs/>
                <w:color w:val="17365D"/>
                <w:szCs w:val="28"/>
              </w:rPr>
              <w:t>9</w:t>
            </w:r>
          </w:p>
          <w:p w:rsidR="000A66D7" w:rsidRDefault="0024653C">
            <w:pPr>
              <w:pStyle w:val="ListParagraph"/>
              <w:keepNext/>
              <w:ind w:left="0"/>
              <w:outlineLvl w:val="2"/>
              <w:rPr>
                <w:bCs/>
                <w:color w:val="17365D"/>
                <w:szCs w:val="28"/>
              </w:rPr>
            </w:pPr>
            <w:r>
              <w:rPr>
                <w:bCs/>
                <w:color w:val="17365D"/>
                <w:szCs w:val="28"/>
              </w:rPr>
              <w:t>9</w:t>
            </w:r>
          </w:p>
          <w:p w:rsidR="000A66D7" w:rsidRDefault="000A66D7">
            <w:pPr>
              <w:pStyle w:val="ListParagraph"/>
              <w:keepNext/>
              <w:ind w:left="0"/>
              <w:outlineLvl w:val="2"/>
              <w:rPr>
                <w:bCs/>
                <w:color w:val="17365D"/>
                <w:szCs w:val="28"/>
              </w:rPr>
            </w:pPr>
          </w:p>
          <w:p w:rsidR="000A66D7" w:rsidRDefault="0024653C">
            <w:pPr>
              <w:pStyle w:val="ListParagraph"/>
              <w:keepNext/>
              <w:ind w:left="0"/>
              <w:outlineLvl w:val="2"/>
              <w:rPr>
                <w:bCs/>
                <w:color w:val="17365D"/>
                <w:szCs w:val="28"/>
              </w:rPr>
            </w:pPr>
            <w:r>
              <w:rPr>
                <w:bCs/>
                <w:color w:val="17365D"/>
                <w:szCs w:val="28"/>
              </w:rPr>
              <w:t>10</w:t>
            </w:r>
          </w:p>
          <w:p w:rsidR="000A66D7" w:rsidRDefault="000A66D7">
            <w:pPr>
              <w:pStyle w:val="ListParagraph"/>
              <w:keepNext/>
              <w:ind w:left="0"/>
              <w:outlineLvl w:val="2"/>
              <w:rPr>
                <w:bCs/>
                <w:color w:val="17365D"/>
                <w:szCs w:val="28"/>
              </w:rPr>
            </w:pPr>
          </w:p>
          <w:p w:rsidR="000A66D7" w:rsidRDefault="0024653C">
            <w:pPr>
              <w:pStyle w:val="ListParagraph"/>
              <w:keepNext/>
              <w:spacing w:after="120"/>
              <w:ind w:left="0"/>
              <w:outlineLvl w:val="2"/>
              <w:rPr>
                <w:bCs/>
                <w:color w:val="17365D"/>
                <w:szCs w:val="28"/>
              </w:rPr>
            </w:pPr>
            <w:r>
              <w:rPr>
                <w:bCs/>
                <w:color w:val="17365D"/>
                <w:szCs w:val="28"/>
              </w:rPr>
              <w:t>13</w:t>
            </w:r>
          </w:p>
          <w:p w:rsidR="000A66D7" w:rsidRDefault="0024653C">
            <w:pPr>
              <w:pStyle w:val="ListParagraph"/>
              <w:keepNext/>
              <w:ind w:left="0"/>
              <w:outlineLvl w:val="2"/>
              <w:rPr>
                <w:bCs/>
                <w:color w:val="17365D"/>
                <w:szCs w:val="28"/>
              </w:rPr>
            </w:pPr>
            <w:r>
              <w:rPr>
                <w:bCs/>
                <w:color w:val="17365D"/>
                <w:szCs w:val="28"/>
              </w:rPr>
              <w:t>13</w:t>
            </w:r>
          </w:p>
          <w:p w:rsidR="000A66D7" w:rsidRDefault="0024653C">
            <w:pPr>
              <w:pStyle w:val="ListParagraph"/>
              <w:keepNext/>
              <w:ind w:left="0"/>
              <w:outlineLvl w:val="2"/>
              <w:rPr>
                <w:bCs/>
                <w:color w:val="17365D"/>
                <w:szCs w:val="28"/>
              </w:rPr>
            </w:pPr>
            <w:r>
              <w:rPr>
                <w:bCs/>
                <w:color w:val="17365D"/>
                <w:szCs w:val="28"/>
              </w:rPr>
              <w:t>14</w:t>
            </w:r>
          </w:p>
          <w:p w:rsidR="000A66D7" w:rsidRDefault="000A66D7">
            <w:pPr>
              <w:pStyle w:val="ListParagraph"/>
              <w:keepNext/>
              <w:ind w:left="0"/>
              <w:outlineLvl w:val="2"/>
              <w:rPr>
                <w:bCs/>
                <w:color w:val="17365D"/>
                <w:szCs w:val="28"/>
              </w:rPr>
            </w:pPr>
          </w:p>
          <w:p w:rsidR="000A66D7" w:rsidRDefault="0024653C">
            <w:pPr>
              <w:pStyle w:val="ListParagraph"/>
              <w:keepNext/>
              <w:ind w:left="0"/>
              <w:outlineLvl w:val="2"/>
              <w:rPr>
                <w:bCs/>
                <w:color w:val="17365D"/>
                <w:szCs w:val="28"/>
              </w:rPr>
            </w:pPr>
            <w:r>
              <w:rPr>
                <w:bCs/>
                <w:color w:val="17365D"/>
                <w:szCs w:val="28"/>
              </w:rPr>
              <w:t>17</w:t>
            </w:r>
          </w:p>
          <w:p w:rsidR="000A66D7" w:rsidRDefault="000A66D7">
            <w:pPr>
              <w:pStyle w:val="ListParagraph"/>
              <w:keepNext/>
              <w:spacing w:before="120"/>
              <w:ind w:left="0"/>
              <w:outlineLvl w:val="2"/>
              <w:rPr>
                <w:bCs/>
                <w:color w:val="17365D"/>
                <w:szCs w:val="28"/>
              </w:rPr>
            </w:pPr>
            <w:r>
              <w:rPr>
                <w:bCs/>
                <w:color w:val="17365D"/>
                <w:szCs w:val="28"/>
              </w:rPr>
              <w:t>1</w:t>
            </w:r>
            <w:r w:rsidR="0024653C">
              <w:rPr>
                <w:bCs/>
                <w:color w:val="17365D"/>
                <w:szCs w:val="28"/>
              </w:rPr>
              <w:t>7</w:t>
            </w:r>
          </w:p>
          <w:p w:rsidR="000A66D7" w:rsidRDefault="0024653C">
            <w:pPr>
              <w:pStyle w:val="ListParagraph"/>
              <w:keepNext/>
              <w:spacing w:before="120"/>
              <w:ind w:left="0"/>
              <w:outlineLvl w:val="2"/>
              <w:rPr>
                <w:bCs/>
                <w:color w:val="17365D"/>
                <w:szCs w:val="28"/>
              </w:rPr>
            </w:pPr>
            <w:r>
              <w:rPr>
                <w:bCs/>
                <w:color w:val="17365D"/>
                <w:szCs w:val="28"/>
              </w:rPr>
              <w:t>19</w:t>
            </w:r>
          </w:p>
          <w:p w:rsidR="000A66D7" w:rsidRDefault="000A66D7">
            <w:pPr>
              <w:pStyle w:val="ListParagraph"/>
              <w:keepNext/>
              <w:spacing w:before="120"/>
              <w:ind w:left="0"/>
              <w:outlineLvl w:val="2"/>
              <w:rPr>
                <w:bCs/>
                <w:color w:val="17365D"/>
                <w:szCs w:val="28"/>
              </w:rPr>
            </w:pPr>
          </w:p>
          <w:p w:rsidR="000A66D7" w:rsidRDefault="0024653C">
            <w:pPr>
              <w:pStyle w:val="ListParagraph"/>
              <w:keepNext/>
              <w:ind w:left="0"/>
              <w:outlineLvl w:val="2"/>
              <w:rPr>
                <w:bCs/>
                <w:color w:val="17365D"/>
                <w:szCs w:val="28"/>
              </w:rPr>
            </w:pPr>
            <w:r>
              <w:rPr>
                <w:bCs/>
                <w:color w:val="17365D"/>
                <w:szCs w:val="28"/>
              </w:rPr>
              <w:t>21</w:t>
            </w:r>
          </w:p>
          <w:p w:rsidR="000A66D7" w:rsidRDefault="000A66D7">
            <w:pPr>
              <w:pStyle w:val="ListParagraph"/>
              <w:keepNext/>
              <w:spacing w:before="120"/>
              <w:ind w:left="0"/>
              <w:outlineLvl w:val="2"/>
              <w:rPr>
                <w:bCs/>
                <w:color w:val="17365D"/>
                <w:szCs w:val="28"/>
              </w:rPr>
            </w:pPr>
          </w:p>
          <w:p w:rsidR="000A66D7" w:rsidRDefault="00E123D3">
            <w:pPr>
              <w:pStyle w:val="ListParagraph"/>
              <w:keepNext/>
              <w:ind w:left="0"/>
              <w:outlineLvl w:val="2"/>
              <w:rPr>
                <w:bCs/>
                <w:color w:val="17365D"/>
                <w:szCs w:val="28"/>
              </w:rPr>
            </w:pPr>
            <w:r>
              <w:rPr>
                <w:bCs/>
                <w:color w:val="17365D"/>
                <w:szCs w:val="28"/>
              </w:rPr>
              <w:t>2</w:t>
            </w:r>
            <w:r w:rsidR="0024653C">
              <w:rPr>
                <w:bCs/>
                <w:color w:val="17365D"/>
                <w:szCs w:val="28"/>
              </w:rPr>
              <w:t>3</w:t>
            </w:r>
          </w:p>
        </w:tc>
      </w:tr>
    </w:tbl>
    <w:p w:rsidR="000A66D7" w:rsidRDefault="000A66D7">
      <w:pPr>
        <w:pStyle w:val="Heading1"/>
        <w:spacing w:after="0"/>
        <w:rPr>
          <w:rFonts w:ascii="Calibri" w:hAnsi="Calibri"/>
        </w:rPr>
      </w:pPr>
      <w:r>
        <w:rPr>
          <w:color w:val="auto"/>
          <w:lang w:val="en-US"/>
        </w:rPr>
        <w:br w:type="page"/>
      </w:r>
      <w:r>
        <w:rPr>
          <w:rFonts w:ascii="Calibri" w:hAnsi="Calibri"/>
          <w:lang w:val="en-US"/>
        </w:rPr>
        <w:lastRenderedPageBreak/>
        <w:t xml:space="preserve">SECTION </w:t>
      </w:r>
      <w:r>
        <w:rPr>
          <w:rFonts w:ascii="Calibri" w:hAnsi="Calibri"/>
          <w:sz w:val="72"/>
          <w:szCs w:val="72"/>
          <w:lang w:val="en-US"/>
        </w:rPr>
        <w:t>1</w:t>
      </w:r>
      <w:r>
        <w:rPr>
          <w:rFonts w:ascii="Calibri" w:hAnsi="Calibri"/>
          <w:lang w:val="en-US"/>
        </w:rPr>
        <w:t xml:space="preserve"> - </w:t>
      </w:r>
      <w:bookmarkStart w:id="6" w:name="_Toc302052650"/>
      <w:bookmarkEnd w:id="5"/>
      <w:r>
        <w:rPr>
          <w:rFonts w:ascii="Calibri" w:hAnsi="Calibri"/>
        </w:rPr>
        <w:t>Topic Rationale</w:t>
      </w:r>
      <w:bookmarkEnd w:id="6"/>
    </w:p>
    <w:p w:rsidR="000A66D7" w:rsidRDefault="000A66D7">
      <w:pPr>
        <w:pStyle w:val="NormalWeb"/>
        <w:ind w:left="720"/>
        <w:rPr>
          <w:rFonts w:ascii="Cambria" w:eastAsia="Arial Unicode MS" w:hAnsi="Cambria"/>
          <w:i/>
          <w:iCs/>
          <w:sz w:val="22"/>
        </w:rPr>
      </w:pPr>
      <w:r>
        <w:rPr>
          <w:rFonts w:ascii="Cambria" w:hAnsi="Cambria"/>
          <w:i/>
          <w:iCs/>
          <w:sz w:val="22"/>
        </w:rPr>
        <w:t>”Diarrheal diseases account for nearly 1.3 million deaths a year among children under-five years of age, making them the second most common cause of child deaths worldwide. Over half of the deaths occur in just five countries: India, Nigeria, Afghanistan, Pakistan and Ethiopia.</w:t>
      </w:r>
    </w:p>
    <w:p w:rsidR="000A66D7" w:rsidRDefault="000A66D7">
      <w:pPr>
        <w:pStyle w:val="NormalWeb"/>
        <w:spacing w:before="0" w:beforeAutospacing="0" w:after="0" w:afterAutospacing="0"/>
        <w:ind w:left="720"/>
        <w:rPr>
          <w:rFonts w:ascii="Cambria" w:hAnsi="Cambria"/>
          <w:sz w:val="22"/>
        </w:rPr>
      </w:pPr>
      <w:r>
        <w:rPr>
          <w:rFonts w:ascii="Cambria" w:hAnsi="Cambria"/>
          <w:i/>
          <w:iCs/>
          <w:sz w:val="22"/>
        </w:rPr>
        <w:t xml:space="preserve">Oral rehydration salts (ORS) and oral rehydration therapy (ORT), adopted by UNICEF and WHO in the late 1970s, have been successful in helping manage </w:t>
      </w:r>
      <w:proofErr w:type="spellStart"/>
      <w:r>
        <w:rPr>
          <w:rFonts w:ascii="Cambria" w:hAnsi="Cambria"/>
          <w:i/>
          <w:iCs/>
          <w:sz w:val="22"/>
        </w:rPr>
        <w:t>diarrhea</w:t>
      </w:r>
      <w:proofErr w:type="spellEnd"/>
      <w:r>
        <w:rPr>
          <w:rFonts w:ascii="Cambria" w:hAnsi="Cambria"/>
          <w:i/>
          <w:iCs/>
          <w:sz w:val="22"/>
        </w:rPr>
        <w:t xml:space="preserve"> among children. It is estimated that in the 1990s, more than 1 million deaths related to </w:t>
      </w:r>
      <w:proofErr w:type="spellStart"/>
      <w:r>
        <w:rPr>
          <w:rFonts w:ascii="Cambria" w:hAnsi="Cambria"/>
          <w:i/>
          <w:iCs/>
          <w:sz w:val="22"/>
        </w:rPr>
        <w:t>diarrhea</w:t>
      </w:r>
      <w:proofErr w:type="spellEnd"/>
      <w:r>
        <w:rPr>
          <w:rFonts w:ascii="Cambria" w:hAnsi="Cambria"/>
          <w:i/>
          <w:iCs/>
          <w:sz w:val="22"/>
        </w:rPr>
        <w:t xml:space="preserve"> may have been prevented each year, largely attributable to the promotion and use of these therapies. Today, however, there are indications that in some countries knowledge and use of appropriate home therapies to successfully manage </w:t>
      </w:r>
      <w:proofErr w:type="spellStart"/>
      <w:r>
        <w:rPr>
          <w:rFonts w:ascii="Cambria" w:hAnsi="Cambria"/>
          <w:i/>
          <w:iCs/>
          <w:sz w:val="22"/>
        </w:rPr>
        <w:t>diarrhea</w:t>
      </w:r>
      <w:proofErr w:type="spellEnd"/>
      <w:r>
        <w:rPr>
          <w:rFonts w:ascii="Cambria" w:hAnsi="Cambria"/>
          <w:i/>
          <w:iCs/>
          <w:sz w:val="22"/>
        </w:rPr>
        <w:t xml:space="preserve">, including ORT, may be declining. </w:t>
      </w:r>
      <w:proofErr w:type="gramStart"/>
      <w:r>
        <w:rPr>
          <w:rFonts w:ascii="Cambria" w:hAnsi="Cambria"/>
          <w:sz w:val="22"/>
        </w:rPr>
        <w:t>[UNICEF.</w:t>
      </w:r>
      <w:proofErr w:type="gramEnd"/>
      <w:r>
        <w:rPr>
          <w:rFonts w:ascii="Cambria" w:hAnsi="Cambria"/>
          <w:i/>
          <w:iCs/>
          <w:sz w:val="22"/>
        </w:rPr>
        <w:t xml:space="preserve"> </w:t>
      </w:r>
      <w:r>
        <w:rPr>
          <w:rStyle w:val="pagesubhead"/>
          <w:rFonts w:ascii="Cambria" w:hAnsi="Cambria"/>
          <w:i/>
          <w:iCs/>
          <w:sz w:val="22"/>
        </w:rPr>
        <w:t xml:space="preserve">Acute </w:t>
      </w:r>
      <w:proofErr w:type="spellStart"/>
      <w:r>
        <w:rPr>
          <w:rStyle w:val="pagesubhead"/>
          <w:rFonts w:ascii="Cambria" w:hAnsi="Cambria"/>
          <w:i/>
          <w:iCs/>
          <w:sz w:val="22"/>
        </w:rPr>
        <w:t>Diarrhea</w:t>
      </w:r>
      <w:proofErr w:type="spellEnd"/>
      <w:r>
        <w:rPr>
          <w:rStyle w:val="pagesubhead"/>
          <w:rFonts w:ascii="Cambria" w:hAnsi="Cambria"/>
          <w:i/>
          <w:iCs/>
          <w:sz w:val="22"/>
        </w:rPr>
        <w:t xml:space="preserve"> Still a Major Cause of Child Death </w:t>
      </w:r>
      <w:proofErr w:type="gramStart"/>
      <w:r>
        <w:rPr>
          <w:rStyle w:val="pagesubhead"/>
          <w:rFonts w:ascii="Cambria" w:hAnsi="Cambria"/>
          <w:i/>
          <w:iCs/>
          <w:sz w:val="22"/>
        </w:rPr>
        <w:t xml:space="preserve">“ </w:t>
      </w:r>
      <w:r>
        <w:rPr>
          <w:rFonts w:ascii="Cambria" w:hAnsi="Cambria"/>
          <w:sz w:val="22"/>
        </w:rPr>
        <w:t>[</w:t>
      </w:r>
      <w:proofErr w:type="gramEnd"/>
      <w:r>
        <w:rPr>
          <w:rFonts w:ascii="Cambria" w:hAnsi="Cambria"/>
          <w:sz w:val="22"/>
        </w:rPr>
        <w:t xml:space="preserve">Online], Available: </w:t>
      </w:r>
      <w:hyperlink r:id="rId13" w:history="1">
        <w:r>
          <w:rPr>
            <w:rStyle w:val="Hyperlink"/>
            <w:rFonts w:ascii="Cambria" w:hAnsi="Cambria"/>
            <w:i/>
            <w:iCs/>
            <w:sz w:val="22"/>
          </w:rPr>
          <w:t>http://www.unicef.org/health/index_43834.html</w:t>
        </w:r>
      </w:hyperlink>
      <w:r>
        <w:rPr>
          <w:rFonts w:ascii="Cambria" w:hAnsi="Cambria"/>
          <w:sz w:val="22"/>
        </w:rPr>
        <w:t xml:space="preserve"> Downloaded: 20.6.12].</w:t>
      </w:r>
    </w:p>
    <w:p w:rsidR="000A66D7" w:rsidRDefault="000A66D7">
      <w:pPr>
        <w:rPr>
          <w:rFonts w:ascii="Cambria" w:hAnsi="Cambria"/>
        </w:rPr>
      </w:pPr>
    </w:p>
    <w:p w:rsidR="000A66D7" w:rsidRDefault="007A2E92">
      <w:pPr>
        <w:rPr>
          <w:rFonts w:ascii="Cambria" w:eastAsia="Arial Unicode MS" w:hAnsi="Cambria" w:cs="Arial Unicode MS"/>
          <w:szCs w:val="24"/>
        </w:rPr>
      </w:pPr>
      <w:r>
        <w:rPr>
          <w:rFonts w:ascii="Cambria" w:hAnsi="Cambria"/>
          <w:i/>
          <w:iCs/>
          <w:noProof/>
          <w:lang w:val="en-US" w:eastAsia="zh-TW"/>
        </w:rPr>
        <w:pict>
          <v:shape id="_x0000_s1125" type="#_x0000_t202" style="position:absolute;margin-left:318pt;margin-top:1.4pt;width:156pt;height:274.8pt;z-index:-251660288;mso-width-relative:margin;mso-height-relative:margin" wrapcoords="-86 -183 -86 21417 21686 21417 21686 -183 -86 -183" fillcolor="#dbe5f1">
            <v:textbox>
              <w:txbxContent>
                <w:p w:rsidR="000A66D7" w:rsidRDefault="000A66D7">
                  <w:pPr>
                    <w:spacing w:before="100" w:beforeAutospacing="1" w:after="100" w:afterAutospacing="1"/>
                    <w:rPr>
                      <w:sz w:val="18"/>
                      <w:szCs w:val="18"/>
                    </w:rPr>
                  </w:pPr>
                  <w:r>
                    <w:rPr>
                      <w:sz w:val="18"/>
                      <w:szCs w:val="18"/>
                    </w:rPr>
                    <w:t xml:space="preserve">Millennium Development Target 4A: </w:t>
                  </w:r>
                  <w:hyperlink r:id="rId14" w:anchor="page=28" w:history="1">
                    <w:r>
                      <w:rPr>
                        <w:rStyle w:val="Hyperlink"/>
                        <w:sz w:val="18"/>
                        <w:szCs w:val="18"/>
                      </w:rPr>
                      <w:t>Reduce by two thirds, between 1990 and 2015, the under-five mortality rate</w:t>
                    </w:r>
                  </w:hyperlink>
                  <w:r>
                    <w:rPr>
                      <w:sz w:val="18"/>
                      <w:szCs w:val="18"/>
                    </w:rPr>
                    <w:t xml:space="preserve"> </w:t>
                  </w:r>
                </w:p>
                <w:p w:rsidR="000A66D7" w:rsidRDefault="000A66D7">
                  <w:pPr>
                    <w:numPr>
                      <w:ilvl w:val="0"/>
                      <w:numId w:val="27"/>
                    </w:numPr>
                    <w:spacing w:before="100" w:beforeAutospacing="1" w:after="100" w:afterAutospacing="1"/>
                    <w:rPr>
                      <w:sz w:val="18"/>
                      <w:szCs w:val="18"/>
                    </w:rPr>
                  </w:pPr>
                  <w:r>
                    <w:rPr>
                      <w:sz w:val="18"/>
                      <w:szCs w:val="18"/>
                    </w:rPr>
                    <w:t>Child deaths are falling, but not quickly enough to reach the target</w:t>
                  </w:r>
                </w:p>
                <w:p w:rsidR="000A66D7" w:rsidRDefault="000A66D7">
                  <w:pPr>
                    <w:numPr>
                      <w:ilvl w:val="0"/>
                      <w:numId w:val="27"/>
                    </w:numPr>
                    <w:spacing w:before="100" w:beforeAutospacing="1" w:after="100" w:afterAutospacing="1"/>
                    <w:rPr>
                      <w:sz w:val="18"/>
                      <w:szCs w:val="18"/>
                    </w:rPr>
                  </w:pPr>
                  <w:r>
                    <w:rPr>
                      <w:sz w:val="18"/>
                      <w:szCs w:val="18"/>
                    </w:rPr>
                    <w:t xml:space="preserve">Revitalizing efforts against pneumonia and </w:t>
                  </w:r>
                  <w:proofErr w:type="spellStart"/>
                  <w:r>
                    <w:rPr>
                      <w:sz w:val="18"/>
                      <w:szCs w:val="18"/>
                    </w:rPr>
                    <w:t>diarrhea</w:t>
                  </w:r>
                  <w:proofErr w:type="spellEnd"/>
                  <w:r>
                    <w:rPr>
                      <w:sz w:val="18"/>
                      <w:szCs w:val="18"/>
                    </w:rPr>
                    <w:t>, while bolstering nutrition, could save millions of children</w:t>
                  </w:r>
                </w:p>
                <w:p w:rsidR="000A66D7" w:rsidRDefault="000A66D7">
                  <w:pPr>
                    <w:numPr>
                      <w:ilvl w:val="0"/>
                      <w:numId w:val="27"/>
                    </w:numPr>
                    <w:spacing w:before="100" w:beforeAutospacing="1" w:after="100" w:afterAutospacing="1"/>
                    <w:rPr>
                      <w:sz w:val="18"/>
                      <w:szCs w:val="18"/>
                    </w:rPr>
                  </w:pPr>
                  <w:r>
                    <w:rPr>
                      <w:sz w:val="18"/>
                      <w:szCs w:val="18"/>
                    </w:rPr>
                    <w:t>Recent success in controlling measles may be short-lived if funding gaps are not bridged</w:t>
                  </w:r>
                </w:p>
                <w:p w:rsidR="000A66D7" w:rsidRDefault="000A66D7">
                  <w:pPr>
                    <w:rPr>
                      <w:sz w:val="18"/>
                      <w:szCs w:val="18"/>
                    </w:rPr>
                  </w:pPr>
                  <w:r>
                    <w:rPr>
                      <w:sz w:val="18"/>
                      <w:szCs w:val="18"/>
                    </w:rPr>
                    <w:t xml:space="preserve">Read the Fact Sheet on MDG 4 which is part of [United Nations. (2010). </w:t>
                  </w:r>
                  <w:proofErr w:type="gramStart"/>
                  <w:r>
                    <w:rPr>
                      <w:i/>
                      <w:iCs/>
                      <w:sz w:val="18"/>
                      <w:szCs w:val="18"/>
                    </w:rPr>
                    <w:t>The</w:t>
                  </w:r>
                  <w:proofErr w:type="gramEnd"/>
                  <w:r>
                    <w:rPr>
                      <w:i/>
                      <w:iCs/>
                      <w:sz w:val="18"/>
                      <w:szCs w:val="18"/>
                    </w:rPr>
                    <w:t xml:space="preserve"> Millennium Development Goals Report, 2010. </w:t>
                  </w:r>
                  <w:r>
                    <w:rPr>
                      <w:sz w:val="18"/>
                      <w:szCs w:val="18"/>
                    </w:rPr>
                    <w:t xml:space="preserve">[Online], Available: </w:t>
                  </w:r>
                  <w:hyperlink r:id="rId15" w:history="1">
                    <w:r>
                      <w:rPr>
                        <w:rStyle w:val="Hyperlink"/>
                        <w:sz w:val="18"/>
                        <w:szCs w:val="18"/>
                      </w:rPr>
                      <w:t>http://www.un.org/millenniumgoals/pdf/MDG_FS_4_EN.pdf</w:t>
                    </w:r>
                  </w:hyperlink>
                  <w:r>
                    <w:rPr>
                      <w:sz w:val="18"/>
                      <w:szCs w:val="18"/>
                    </w:rPr>
                    <w:t xml:space="preserve">  Downloaded: 20.1.12].</w:t>
                  </w:r>
                </w:p>
              </w:txbxContent>
            </v:textbox>
            <w10:wrap type="tight"/>
          </v:shape>
        </w:pict>
      </w:r>
      <w:r w:rsidR="000A66D7">
        <w:rPr>
          <w:rFonts w:ascii="Cambria" w:hAnsi="Cambria"/>
        </w:rPr>
        <w:t xml:space="preserve">Furthermore the world is not yet on track to achieve the Millennium Development Goal target of a two-thirds reduction in the rate of child mortality by 2015. </w:t>
      </w:r>
    </w:p>
    <w:p w:rsidR="000A66D7" w:rsidRDefault="000A66D7">
      <w:pPr>
        <w:pStyle w:val="NormalWeb"/>
        <w:spacing w:before="0" w:beforeAutospacing="0" w:after="0" w:afterAutospacing="0"/>
        <w:ind w:left="720"/>
        <w:rPr>
          <w:rFonts w:ascii="Cambria" w:hAnsi="Cambria"/>
          <w:sz w:val="22"/>
        </w:rPr>
      </w:pPr>
      <w:r>
        <w:rPr>
          <w:rFonts w:ascii="Cambria" w:hAnsi="Cambria"/>
          <w:i/>
          <w:iCs/>
          <w:sz w:val="22"/>
        </w:rPr>
        <w:t xml:space="preserve">“In some developing countries, the toll is so harsh that more than one in five children die before they reach their fifth birthday. Many of those who do survive are unable to grow and develop to their full potential. Most deaths result from five causes, or a combination of them: acute respiratory infections (ARI), </w:t>
      </w:r>
      <w:proofErr w:type="spellStart"/>
      <w:r>
        <w:rPr>
          <w:rFonts w:ascii="Cambria" w:hAnsi="Cambria"/>
          <w:i/>
          <w:iCs/>
          <w:sz w:val="22"/>
        </w:rPr>
        <w:t>diarrhea</w:t>
      </w:r>
      <w:proofErr w:type="spellEnd"/>
      <w:r>
        <w:rPr>
          <w:rFonts w:ascii="Cambria" w:hAnsi="Cambria"/>
          <w:i/>
          <w:iCs/>
          <w:sz w:val="22"/>
        </w:rPr>
        <w:t>, measles, malaria and malnutrition. Poverty and the failure to ensure universal access to basic social services are to blame. …</w:t>
      </w:r>
      <w:r>
        <w:rPr>
          <w:rStyle w:val="pagesubhead"/>
          <w:rFonts w:ascii="Cambria" w:hAnsi="Cambria"/>
          <w:i/>
          <w:iCs/>
          <w:sz w:val="22"/>
        </w:rPr>
        <w:t xml:space="preserve">. </w:t>
      </w:r>
      <w:r>
        <w:rPr>
          <w:rFonts w:ascii="Cambria" w:hAnsi="Cambria"/>
          <w:i/>
          <w:iCs/>
          <w:sz w:val="22"/>
        </w:rPr>
        <w:t>The inequalities in child survival between poor and better-off children are stark, not only between countries but within them. For countries with available data, children in the poorest 20% of households are far more likely to die before their fifth birthday than children living in the richest quintile</w:t>
      </w:r>
      <w:proofErr w:type="gramStart"/>
      <w:r>
        <w:rPr>
          <w:rFonts w:ascii="Cambria" w:hAnsi="Cambria"/>
          <w:sz w:val="22"/>
        </w:rPr>
        <w:t>”[</w:t>
      </w:r>
      <w:proofErr w:type="gramEnd"/>
      <w:r>
        <w:rPr>
          <w:rFonts w:ascii="Cambria" w:hAnsi="Cambria"/>
          <w:sz w:val="22"/>
        </w:rPr>
        <w:t>UNICEF.</w:t>
      </w:r>
      <w:r>
        <w:rPr>
          <w:rFonts w:ascii="Cambria" w:hAnsi="Cambria"/>
          <w:i/>
          <w:iCs/>
          <w:sz w:val="22"/>
        </w:rPr>
        <w:t xml:space="preserve"> The Big Picture</w:t>
      </w:r>
      <w:r>
        <w:rPr>
          <w:rStyle w:val="pagesubhead"/>
          <w:rFonts w:ascii="Cambria" w:hAnsi="Cambria"/>
          <w:i/>
          <w:iCs/>
          <w:sz w:val="22"/>
        </w:rPr>
        <w:t xml:space="preserve"> </w:t>
      </w:r>
      <w:r>
        <w:rPr>
          <w:rFonts w:ascii="Cambria" w:hAnsi="Cambria"/>
          <w:sz w:val="22"/>
        </w:rPr>
        <w:t xml:space="preserve">[Online], Available: </w:t>
      </w:r>
      <w:hyperlink r:id="rId16" w:history="1">
        <w:r>
          <w:rPr>
            <w:rStyle w:val="Hyperlink"/>
            <w:rFonts w:ascii="Cambria" w:hAnsi="Cambria"/>
            <w:sz w:val="22"/>
          </w:rPr>
          <w:t>http://www.unicef.org/health/index_bigpicture.html</w:t>
        </w:r>
      </w:hyperlink>
      <w:r>
        <w:rPr>
          <w:rFonts w:ascii="Cambria" w:hAnsi="Cambria"/>
          <w:sz w:val="22"/>
        </w:rPr>
        <w:t xml:space="preserve">. </w:t>
      </w:r>
    </w:p>
    <w:p w:rsidR="000A66D7" w:rsidRDefault="000A66D7">
      <w:pPr>
        <w:pStyle w:val="NormalWeb"/>
        <w:spacing w:before="0" w:beforeAutospacing="0" w:after="0" w:afterAutospacing="0"/>
        <w:ind w:left="720"/>
        <w:rPr>
          <w:rFonts w:ascii="Cambria" w:hAnsi="Cambria"/>
          <w:sz w:val="22"/>
        </w:rPr>
      </w:pPr>
      <w:proofErr w:type="gramStart"/>
      <w:r>
        <w:rPr>
          <w:rFonts w:ascii="Cambria" w:hAnsi="Cambria"/>
          <w:sz w:val="22"/>
        </w:rPr>
        <w:t>Downloaded: 20.6.12].</w:t>
      </w:r>
      <w:proofErr w:type="gramEnd"/>
      <w:r>
        <w:rPr>
          <w:rFonts w:ascii="Cambria" w:hAnsi="Cambria"/>
          <w:sz w:val="22"/>
        </w:rPr>
        <w:t xml:space="preserve"> </w:t>
      </w:r>
    </w:p>
    <w:p w:rsidR="000A66D7" w:rsidRDefault="000A66D7">
      <w:pPr>
        <w:pStyle w:val="NormalWeb"/>
        <w:spacing w:before="0" w:beforeAutospacing="0" w:after="0" w:afterAutospacing="0"/>
        <w:rPr>
          <w:rFonts w:ascii="Cambria" w:hAnsi="Cambria"/>
          <w:sz w:val="22"/>
        </w:rPr>
      </w:pPr>
    </w:p>
    <w:p w:rsidR="000A66D7" w:rsidRDefault="000A66D7">
      <w:pPr>
        <w:pStyle w:val="NormalWeb"/>
        <w:spacing w:before="0" w:beforeAutospacing="0" w:after="0" w:afterAutospacing="0"/>
        <w:rPr>
          <w:rFonts w:ascii="Cambria" w:hAnsi="Cambria"/>
          <w:sz w:val="22"/>
        </w:rPr>
      </w:pPr>
    </w:p>
    <w:p w:rsidR="000A66D7" w:rsidRDefault="000A66D7">
      <w:pPr>
        <w:pStyle w:val="NormalWeb"/>
        <w:spacing w:before="0" w:beforeAutospacing="0" w:after="0" w:afterAutospacing="0"/>
        <w:rPr>
          <w:rFonts w:ascii="Cambria" w:hAnsi="Cambria"/>
          <w:sz w:val="22"/>
        </w:rPr>
      </w:pPr>
    </w:p>
    <w:p w:rsidR="000A66D7" w:rsidRDefault="000A66D7">
      <w:pPr>
        <w:pStyle w:val="NormalWeb"/>
        <w:spacing w:before="0" w:beforeAutospacing="0" w:after="0" w:afterAutospacing="0"/>
        <w:rPr>
          <w:rFonts w:ascii="Cambria" w:hAnsi="Cambria"/>
          <w:sz w:val="22"/>
        </w:rPr>
      </w:pPr>
      <w:r>
        <w:rPr>
          <w:rFonts w:ascii="Cambria" w:hAnsi="Cambria"/>
          <w:sz w:val="22"/>
        </w:rPr>
        <w:t xml:space="preserve">UNICEF reports that there was a significant proportional increase in </w:t>
      </w:r>
      <w:proofErr w:type="gramStart"/>
      <w:r>
        <w:rPr>
          <w:rFonts w:ascii="Cambria" w:hAnsi="Cambria"/>
          <w:sz w:val="22"/>
        </w:rPr>
        <w:t>under</w:t>
      </w:r>
      <w:proofErr w:type="gramEnd"/>
      <w:r>
        <w:rPr>
          <w:rFonts w:ascii="Cambria" w:hAnsi="Cambria"/>
          <w:sz w:val="22"/>
        </w:rPr>
        <w:t xml:space="preserve"> five children receiving Oral Rehydration Therapy, “from 24% in 1995 to 43% in 2005”. They note also that a range of strategies is important in reducing diarrheal disease.</w:t>
      </w:r>
    </w:p>
    <w:p w:rsidR="000A66D7" w:rsidRDefault="000A66D7">
      <w:pPr>
        <w:pStyle w:val="NormalWeb"/>
        <w:spacing w:before="0" w:beforeAutospacing="0" w:after="0" w:afterAutospacing="0"/>
        <w:ind w:left="720"/>
        <w:rPr>
          <w:rFonts w:ascii="Cambria" w:hAnsi="Cambria"/>
          <w:sz w:val="22"/>
        </w:rPr>
      </w:pPr>
      <w:r>
        <w:rPr>
          <w:rFonts w:ascii="Cambria" w:hAnsi="Cambria"/>
          <w:i/>
          <w:iCs/>
          <w:sz w:val="22"/>
        </w:rPr>
        <w:t xml:space="preserve">“Measures to prevent childhood diarrheal episodes include promoting exclusive breastfeeding, raising vitamin A supplementation rates, improving hygiene, increasing the source of improved sources of drinking water and sanitation facilities, promoting zinc intake and immunization against rotavirus” </w:t>
      </w:r>
      <w:r>
        <w:rPr>
          <w:rFonts w:ascii="Cambria" w:hAnsi="Cambria"/>
          <w:sz w:val="22"/>
        </w:rPr>
        <w:t>[UNICEF.</w:t>
      </w:r>
      <w:r>
        <w:rPr>
          <w:rFonts w:ascii="Cambria" w:hAnsi="Cambria"/>
          <w:i/>
          <w:iCs/>
          <w:sz w:val="22"/>
        </w:rPr>
        <w:t xml:space="preserve"> </w:t>
      </w:r>
      <w:r>
        <w:rPr>
          <w:rStyle w:val="pagesubhead"/>
          <w:rFonts w:ascii="Cambria" w:hAnsi="Cambria"/>
          <w:i/>
          <w:iCs/>
          <w:sz w:val="22"/>
        </w:rPr>
        <w:t xml:space="preserve">Acute </w:t>
      </w:r>
      <w:proofErr w:type="spellStart"/>
      <w:r>
        <w:rPr>
          <w:rStyle w:val="pagesubhead"/>
          <w:rFonts w:ascii="Cambria" w:hAnsi="Cambria"/>
          <w:i/>
          <w:iCs/>
          <w:sz w:val="22"/>
        </w:rPr>
        <w:t>Diarrhea</w:t>
      </w:r>
      <w:proofErr w:type="spellEnd"/>
      <w:r>
        <w:rPr>
          <w:rStyle w:val="pagesubhead"/>
          <w:rFonts w:ascii="Cambria" w:hAnsi="Cambria"/>
          <w:i/>
          <w:iCs/>
          <w:sz w:val="22"/>
        </w:rPr>
        <w:t xml:space="preserve"> Still a Major Cause of Child Death. </w:t>
      </w:r>
      <w:r>
        <w:rPr>
          <w:rFonts w:ascii="Cambria" w:hAnsi="Cambria"/>
          <w:sz w:val="22"/>
        </w:rPr>
        <w:t xml:space="preserve">[Online], Available: </w:t>
      </w:r>
      <w:hyperlink r:id="rId17" w:history="1">
        <w:r>
          <w:rPr>
            <w:rStyle w:val="Hyperlink"/>
            <w:rFonts w:ascii="Cambria" w:hAnsi="Cambria"/>
            <w:i/>
            <w:iCs/>
            <w:sz w:val="22"/>
          </w:rPr>
          <w:t>http://www.unicef.org/health/index_43834.html</w:t>
        </w:r>
      </w:hyperlink>
      <w:r>
        <w:rPr>
          <w:rFonts w:ascii="Cambria" w:hAnsi="Cambria"/>
          <w:sz w:val="22"/>
        </w:rPr>
        <w:t xml:space="preserve"> Downloaded: 20.6.12].</w:t>
      </w:r>
    </w:p>
    <w:p w:rsidR="000A66D7" w:rsidRDefault="000A66D7">
      <w:pPr>
        <w:rPr>
          <w:rFonts w:ascii="Cambria" w:hAnsi="Cambria"/>
        </w:rPr>
      </w:pPr>
    </w:p>
    <w:p w:rsidR="000A66D7" w:rsidRDefault="000A66D7">
      <w:pPr>
        <w:pStyle w:val="NormalWeb"/>
        <w:spacing w:before="0" w:beforeAutospacing="0" w:after="0" w:afterAutospacing="0"/>
      </w:pPr>
      <w:r>
        <w:rPr>
          <w:rFonts w:ascii="Cambria" w:hAnsi="Cambria"/>
          <w:sz w:val="22"/>
        </w:rPr>
        <w:t>In spite of an important milestone having been reached in child survival by 2007, with an estimated 27% decline in the under-five mortality rate, “… the continued loss of 9.2 million young lives each year is unacceptable, especially when many of these deaths are preventable” [UNICEF.</w:t>
      </w:r>
      <w:r>
        <w:rPr>
          <w:rFonts w:ascii="Cambria" w:hAnsi="Cambria"/>
          <w:i/>
          <w:iCs/>
          <w:sz w:val="22"/>
        </w:rPr>
        <w:t xml:space="preserve"> The Big Picture</w:t>
      </w:r>
      <w:r>
        <w:rPr>
          <w:rStyle w:val="pagesubhead"/>
          <w:rFonts w:ascii="Cambria" w:hAnsi="Cambria"/>
          <w:i/>
          <w:iCs/>
          <w:sz w:val="22"/>
        </w:rPr>
        <w:t xml:space="preserve"> </w:t>
      </w:r>
      <w:r>
        <w:rPr>
          <w:rFonts w:ascii="Cambria" w:hAnsi="Cambria"/>
          <w:sz w:val="22"/>
        </w:rPr>
        <w:t xml:space="preserve">[Online], Available: http://www.unicef.org/health/index_bigpicture.html. </w:t>
      </w:r>
      <w:proofErr w:type="gramStart"/>
      <w:r>
        <w:rPr>
          <w:rFonts w:ascii="Cambria" w:hAnsi="Cambria"/>
          <w:sz w:val="22"/>
        </w:rPr>
        <w:t>Downloaded: 20.6.12].</w:t>
      </w:r>
      <w:proofErr w:type="gramEnd"/>
      <w:r>
        <w:rPr>
          <w:rFonts w:ascii="Cambria" w:hAnsi="Cambria"/>
          <w:sz w:val="22"/>
        </w:rPr>
        <w:t xml:space="preserve"> </w:t>
      </w:r>
    </w:p>
    <w:p w:rsidR="000A66D7" w:rsidRDefault="000A66D7">
      <w:pPr>
        <w:pStyle w:val="NormalWeb"/>
        <w:spacing w:before="0" w:beforeAutospacing="0" w:after="0" w:afterAutospacing="0"/>
      </w:pPr>
    </w:p>
    <w:p w:rsidR="0024653C" w:rsidRDefault="0024653C">
      <w:pPr>
        <w:rPr>
          <w:rFonts w:ascii="Trebuchet MS" w:hAnsi="Trebuchet MS"/>
          <w:b/>
          <w:bCs/>
          <w:color w:val="021F59"/>
          <w:kern w:val="28"/>
          <w:sz w:val="40"/>
          <w:szCs w:val="40"/>
          <w:lang w:val="en-US"/>
        </w:rPr>
      </w:pPr>
      <w:r>
        <w:rPr>
          <w:lang w:val="en-US"/>
        </w:rPr>
        <w:br w:type="page"/>
      </w:r>
    </w:p>
    <w:p w:rsidR="000A66D7" w:rsidRDefault="000A66D7">
      <w:pPr>
        <w:pStyle w:val="Heading1"/>
        <w:rPr>
          <w:rFonts w:ascii="Calibri" w:hAnsi="Calibri"/>
        </w:rPr>
      </w:pPr>
      <w:r>
        <w:rPr>
          <w:rFonts w:ascii="Calibri" w:hAnsi="Calibri"/>
          <w:lang w:val="en-US"/>
        </w:rPr>
        <w:lastRenderedPageBreak/>
        <w:t xml:space="preserve">SECTION </w:t>
      </w:r>
      <w:r>
        <w:rPr>
          <w:rFonts w:ascii="Calibri" w:hAnsi="Calibri"/>
          <w:sz w:val="72"/>
          <w:szCs w:val="72"/>
          <w:lang w:val="en-US"/>
        </w:rPr>
        <w:t>2</w:t>
      </w:r>
      <w:r>
        <w:rPr>
          <w:rFonts w:ascii="Calibri" w:hAnsi="Calibri"/>
          <w:lang w:val="en-US"/>
        </w:rPr>
        <w:t xml:space="preserve"> - </w:t>
      </w:r>
      <w:r>
        <w:rPr>
          <w:rFonts w:ascii="Calibri" w:hAnsi="Calibri"/>
        </w:rPr>
        <w:t xml:space="preserve">Learning Input </w:t>
      </w:r>
    </w:p>
    <w:p w:rsidR="000A66D7" w:rsidRDefault="000A66D7">
      <w:pPr>
        <w:pStyle w:val="Heading2"/>
        <w:spacing w:before="0" w:after="0"/>
        <w:rPr>
          <w:rFonts w:ascii="Calibri" w:hAnsi="Calibri"/>
        </w:rPr>
      </w:pPr>
      <w:bookmarkStart w:id="7" w:name="_Toc302052648"/>
      <w:r>
        <w:rPr>
          <w:rFonts w:ascii="Calibri" w:hAnsi="Calibri"/>
        </w:rPr>
        <w:t>2.1      Setting and Population</w:t>
      </w:r>
    </w:p>
    <w:p w:rsidR="000A66D7" w:rsidRDefault="000A66D7">
      <w:pPr>
        <w:spacing w:before="120"/>
        <w:rPr>
          <w:rFonts w:ascii="Cambria" w:hAnsi="Cambria" w:cs="Arial"/>
          <w:szCs w:val="24"/>
        </w:rPr>
      </w:pPr>
      <w:r>
        <w:rPr>
          <w:rFonts w:ascii="Cambria" w:hAnsi="Cambria"/>
        </w:rPr>
        <w:t xml:space="preserve">For this case, the town has been called </w:t>
      </w:r>
      <w:proofErr w:type="spellStart"/>
      <w:r>
        <w:rPr>
          <w:rFonts w:ascii="Cambria" w:hAnsi="Cambria"/>
        </w:rPr>
        <w:t>Tarkavale</w:t>
      </w:r>
      <w:proofErr w:type="spellEnd"/>
      <w:r>
        <w:rPr>
          <w:rFonts w:ascii="Cambria" w:hAnsi="Cambria"/>
        </w:rPr>
        <w:t xml:space="preserve"> and the informal settlement - </w:t>
      </w:r>
      <w:proofErr w:type="spellStart"/>
      <w:r>
        <w:rPr>
          <w:rFonts w:ascii="Cambria" w:hAnsi="Cambria" w:cs="Arial"/>
          <w:szCs w:val="24"/>
        </w:rPr>
        <w:t>Kavu</w:t>
      </w:r>
      <w:proofErr w:type="spellEnd"/>
      <w:r>
        <w:rPr>
          <w:rFonts w:ascii="Cambria" w:hAnsi="Cambria" w:cs="Arial"/>
          <w:szCs w:val="24"/>
        </w:rPr>
        <w:t xml:space="preserve"> </w:t>
      </w:r>
      <w:proofErr w:type="spellStart"/>
      <w:r>
        <w:rPr>
          <w:rFonts w:ascii="Cambria" w:hAnsi="Cambria" w:cs="Arial"/>
          <w:szCs w:val="24"/>
        </w:rPr>
        <w:t>Mahali</w:t>
      </w:r>
      <w:proofErr w:type="spellEnd"/>
      <w:r>
        <w:rPr>
          <w:rFonts w:ascii="Cambria" w:hAnsi="Cambria" w:cs="Arial"/>
          <w:szCs w:val="24"/>
        </w:rPr>
        <w:t xml:space="preserve"> (Dry Place). </w:t>
      </w:r>
      <w:r>
        <w:rPr>
          <w:rFonts w:ascii="Cambria" w:hAnsi="Cambria"/>
        </w:rPr>
        <w:t xml:space="preserve">The population is that of an informal settlement in sub-Saharan Africa. </w:t>
      </w:r>
    </w:p>
    <w:p w:rsidR="000A66D7" w:rsidRDefault="000A66D7">
      <w:pPr>
        <w:spacing w:before="120"/>
        <w:rPr>
          <w:rFonts w:ascii="Cambria" w:hAnsi="Cambria"/>
        </w:rPr>
      </w:pPr>
    </w:p>
    <w:p w:rsidR="000A66D7" w:rsidRDefault="000A66D7">
      <w:pPr>
        <w:pStyle w:val="TOCHeading"/>
        <w:spacing w:after="120"/>
        <w:rPr>
          <w:rFonts w:ascii="Calibri" w:hAnsi="Calibri"/>
          <w:noProof/>
          <w:sz w:val="32"/>
        </w:rPr>
      </w:pPr>
      <w:r>
        <w:rPr>
          <w:rFonts w:ascii="Calibri" w:hAnsi="Calibri"/>
          <w:sz w:val="32"/>
        </w:rPr>
        <w:t>2.2      Learning Objectives</w:t>
      </w:r>
      <w:bookmarkEnd w:id="7"/>
      <w:r>
        <w:rPr>
          <w:rFonts w:ascii="Calibri" w:hAnsi="Calibri"/>
          <w:noProof/>
          <w:sz w:val="32"/>
        </w:rPr>
        <w:t xml:space="preserve"> </w:t>
      </w:r>
    </w:p>
    <w:p w:rsidR="000A66D7" w:rsidRDefault="000A66D7">
      <w:pPr>
        <w:numPr>
          <w:ilvl w:val="0"/>
          <w:numId w:val="7"/>
        </w:numPr>
        <w:ind w:left="357" w:hanging="357"/>
        <w:rPr>
          <w:rFonts w:ascii="Cambria" w:hAnsi="Cambria"/>
        </w:rPr>
      </w:pPr>
      <w:r>
        <w:rPr>
          <w:rFonts w:ascii="Cambria" w:hAnsi="Cambria"/>
        </w:rPr>
        <w:t xml:space="preserve">To explore </w:t>
      </w:r>
      <w:proofErr w:type="spellStart"/>
      <w:r>
        <w:rPr>
          <w:rFonts w:ascii="Cambria" w:hAnsi="Cambria"/>
        </w:rPr>
        <w:t>diarrhea</w:t>
      </w:r>
      <w:proofErr w:type="spellEnd"/>
      <w:r>
        <w:rPr>
          <w:rFonts w:ascii="Cambria" w:hAnsi="Cambria"/>
        </w:rPr>
        <w:t xml:space="preserve"> as a Public Health issue.</w:t>
      </w:r>
    </w:p>
    <w:p w:rsidR="000A66D7" w:rsidRDefault="000A66D7">
      <w:pPr>
        <w:numPr>
          <w:ilvl w:val="0"/>
          <w:numId w:val="7"/>
        </w:numPr>
        <w:ind w:left="357" w:hanging="357"/>
        <w:rPr>
          <w:rFonts w:ascii="Cambria" w:hAnsi="Cambria"/>
        </w:rPr>
      </w:pPr>
      <w:r>
        <w:rPr>
          <w:rFonts w:ascii="Cambria" w:hAnsi="Cambria"/>
        </w:rPr>
        <w:t>To analyse the factors that contribute to diarrheal disease in an informal settlement.</w:t>
      </w:r>
    </w:p>
    <w:p w:rsidR="000A66D7" w:rsidRDefault="000A66D7">
      <w:pPr>
        <w:numPr>
          <w:ilvl w:val="0"/>
          <w:numId w:val="7"/>
        </w:numPr>
        <w:spacing w:after="120"/>
        <w:ind w:left="357" w:hanging="357"/>
        <w:rPr>
          <w:rFonts w:ascii="Cambria" w:hAnsi="Cambria"/>
        </w:rPr>
      </w:pPr>
      <w:r>
        <w:rPr>
          <w:rFonts w:ascii="Cambria" w:hAnsi="Cambria"/>
        </w:rPr>
        <w:t xml:space="preserve">To use a model of Public Health Action to plan a Public Health intervention to address </w:t>
      </w:r>
      <w:proofErr w:type="spellStart"/>
      <w:r>
        <w:rPr>
          <w:rFonts w:ascii="Cambria" w:hAnsi="Cambria"/>
        </w:rPr>
        <w:t>diarrhea</w:t>
      </w:r>
      <w:proofErr w:type="spellEnd"/>
      <w:r>
        <w:rPr>
          <w:rFonts w:ascii="Cambria" w:hAnsi="Cambria"/>
        </w:rPr>
        <w:t xml:space="preserve"> in </w:t>
      </w:r>
      <w:proofErr w:type="spellStart"/>
      <w:r>
        <w:rPr>
          <w:rFonts w:ascii="Cambria" w:hAnsi="Cambria"/>
        </w:rPr>
        <w:t>Kavu</w:t>
      </w:r>
      <w:proofErr w:type="spellEnd"/>
      <w:r>
        <w:rPr>
          <w:rFonts w:ascii="Cambria" w:hAnsi="Cambria"/>
        </w:rPr>
        <w:t>.</w:t>
      </w:r>
    </w:p>
    <w:tbl>
      <w:tblPr>
        <w:tblW w:w="4919" w:type="pct"/>
        <w:tblBorders>
          <w:top w:val="single" w:sz="6" w:space="0" w:color="BFBFBF"/>
          <w:left w:val="single" w:sz="6" w:space="0" w:color="BFBFBF"/>
          <w:bottom w:val="single" w:sz="6" w:space="0" w:color="BFBFBF"/>
          <w:right w:val="single" w:sz="6" w:space="0" w:color="BFBFBF"/>
        </w:tblBorders>
        <w:tblCellMar>
          <w:bottom w:w="170" w:type="dxa"/>
          <w:right w:w="170" w:type="dxa"/>
        </w:tblCellMar>
        <w:tblLook w:val="01E0" w:firstRow="1" w:lastRow="1" w:firstColumn="1" w:lastColumn="1" w:noHBand="0" w:noVBand="0"/>
      </w:tblPr>
      <w:tblGrid>
        <w:gridCol w:w="3372"/>
        <w:gridCol w:w="6228"/>
      </w:tblGrid>
      <w:tr w:rsidR="000A66D7" w:rsidTr="00954E0E">
        <w:trPr>
          <w:cantSplit/>
          <w:trHeight w:val="8826"/>
        </w:trPr>
        <w:tc>
          <w:tcPr>
            <w:tcW w:w="1756" w:type="pct"/>
          </w:tcPr>
          <w:p w:rsidR="000A66D7" w:rsidRDefault="002F7B5D">
            <w:pPr>
              <w:keepNext/>
              <w:spacing w:before="160" w:after="120"/>
              <w:rPr>
                <w:rFonts w:ascii="Arial Narrow" w:hAnsi="Arial Narrow"/>
                <w:b/>
                <w:noProof/>
                <w:lang w:eastAsia="en-ZA"/>
              </w:rPr>
            </w:pPr>
            <w:r>
              <w:rPr>
                <w:rFonts w:ascii="Arial Narrow" w:hAnsi="Arial Narrow"/>
                <w:b/>
                <w:noProof/>
                <w:lang w:val="en-ZA" w:eastAsia="en-ZA"/>
              </w:rPr>
              <w:drawing>
                <wp:inline distT="0" distB="0" distL="0" distR="0">
                  <wp:extent cx="1195705" cy="1019810"/>
                  <wp:effectExtent l="19050" t="0" r="4445" b="0"/>
                  <wp:docPr id="2" name="Picture 3" descr="UWC SOPH Malnutrition_LB_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C SOPH Malnutrition_LB_Activity"/>
                          <pic:cNvPicPr>
                            <a:picLocks noChangeAspect="1" noChangeArrowheads="1"/>
                          </pic:cNvPicPr>
                        </pic:nvPicPr>
                        <pic:blipFill>
                          <a:blip r:embed="rId18" cstate="print"/>
                          <a:srcRect/>
                          <a:stretch>
                            <a:fillRect/>
                          </a:stretch>
                        </pic:blipFill>
                        <pic:spPr bwMode="auto">
                          <a:xfrm>
                            <a:off x="0" y="0"/>
                            <a:ext cx="1195705" cy="1019810"/>
                          </a:xfrm>
                          <a:prstGeom prst="rect">
                            <a:avLst/>
                          </a:prstGeom>
                          <a:noFill/>
                          <a:ln w="9525">
                            <a:noFill/>
                            <a:miter lim="800000"/>
                            <a:headEnd/>
                            <a:tailEnd/>
                          </a:ln>
                        </pic:spPr>
                      </pic:pic>
                    </a:graphicData>
                  </a:graphic>
                </wp:inline>
              </w:drawing>
            </w:r>
          </w:p>
          <w:tbl>
            <w:tblPr>
              <w:tblpPr w:leftFromText="180" w:rightFromText="180" w:vertAnchor="page" w:horzAnchor="margin" w:tblpY="1916"/>
              <w:tblOverlap w:val="never"/>
              <w:tblW w:w="3057" w:type="dxa"/>
              <w:shd w:val="clear" w:color="auto" w:fill="DBE5F1"/>
              <w:tblLook w:val="04A0" w:firstRow="1" w:lastRow="0" w:firstColumn="1" w:lastColumn="0" w:noHBand="0" w:noVBand="1"/>
            </w:tblPr>
            <w:tblGrid>
              <w:gridCol w:w="3057"/>
            </w:tblGrid>
            <w:tr w:rsidR="000A66D7">
              <w:trPr>
                <w:trHeight w:val="2457"/>
              </w:trPr>
              <w:tc>
                <w:tcPr>
                  <w:tcW w:w="3057" w:type="dxa"/>
                  <w:shd w:val="clear" w:color="auto" w:fill="DBE5F1"/>
                </w:tcPr>
                <w:p w:rsidR="000A66D7" w:rsidRDefault="000A66D7">
                  <w:pPr>
                    <w:pStyle w:val="Heading4"/>
                    <w:spacing w:before="120" w:after="0"/>
                    <w:rPr>
                      <w:sz w:val="16"/>
                    </w:rPr>
                  </w:pPr>
                  <w:r>
                    <w:rPr>
                      <w:sz w:val="16"/>
                    </w:rPr>
                    <w:t>Reference</w:t>
                  </w:r>
                </w:p>
                <w:p w:rsidR="000A66D7" w:rsidRDefault="000A66D7">
                  <w:pPr>
                    <w:pStyle w:val="Heading1"/>
                    <w:spacing w:after="0"/>
                    <w:rPr>
                      <w:rFonts w:ascii="Calibri" w:hAnsi="Calibri"/>
                      <w:b w:val="0"/>
                      <w:bCs w:val="0"/>
                      <w:sz w:val="16"/>
                    </w:rPr>
                  </w:pPr>
                </w:p>
                <w:p w:rsidR="000A66D7" w:rsidRDefault="000A66D7">
                  <w:pPr>
                    <w:pStyle w:val="Heading1"/>
                    <w:spacing w:after="0"/>
                    <w:rPr>
                      <w:rFonts w:ascii="Calibri" w:hAnsi="Calibri"/>
                      <w:b w:val="0"/>
                      <w:bCs w:val="0"/>
                      <w:sz w:val="16"/>
                    </w:rPr>
                  </w:pPr>
                  <w:r>
                    <w:rPr>
                      <w:rFonts w:ascii="Calibri" w:hAnsi="Calibri"/>
                      <w:b w:val="0"/>
                      <w:bCs w:val="0"/>
                      <w:sz w:val="16"/>
                    </w:rPr>
                    <w:t xml:space="preserve">Pages 151-160 of this publication provide a full description of </w:t>
                  </w:r>
                  <w:proofErr w:type="spellStart"/>
                  <w:r>
                    <w:rPr>
                      <w:rFonts w:ascii="Calibri" w:hAnsi="Calibri"/>
                      <w:b w:val="0"/>
                      <w:bCs w:val="0"/>
                      <w:sz w:val="16"/>
                    </w:rPr>
                    <w:t>diarrhea</w:t>
                  </w:r>
                  <w:proofErr w:type="spellEnd"/>
                  <w:r>
                    <w:rPr>
                      <w:rFonts w:ascii="Calibri" w:hAnsi="Calibri"/>
                      <w:b w:val="0"/>
                      <w:bCs w:val="0"/>
                      <w:sz w:val="16"/>
                    </w:rPr>
                    <w:t xml:space="preserve">: Werner, D. </w:t>
                  </w:r>
                  <w:r>
                    <w:rPr>
                      <w:rFonts w:ascii="Calibri" w:hAnsi="Calibri"/>
                      <w:b w:val="0"/>
                      <w:bCs w:val="0"/>
                      <w:sz w:val="16"/>
                      <w:szCs w:val="20"/>
                      <w:lang w:val="en-US"/>
                    </w:rPr>
                    <w:t xml:space="preserve">with Carol </w:t>
                  </w:r>
                  <w:proofErr w:type="spellStart"/>
                  <w:r>
                    <w:rPr>
                      <w:rFonts w:ascii="Calibri" w:hAnsi="Calibri"/>
                      <w:b w:val="0"/>
                      <w:bCs w:val="0"/>
                      <w:sz w:val="16"/>
                      <w:szCs w:val="20"/>
                      <w:lang w:val="en-US"/>
                    </w:rPr>
                    <w:t>Thuman</w:t>
                  </w:r>
                  <w:proofErr w:type="spellEnd"/>
                  <w:r>
                    <w:rPr>
                      <w:rFonts w:ascii="Calibri" w:hAnsi="Calibri"/>
                      <w:b w:val="0"/>
                      <w:bCs w:val="0"/>
                      <w:sz w:val="16"/>
                      <w:szCs w:val="20"/>
                      <w:lang w:val="en-US"/>
                    </w:rPr>
                    <w:t xml:space="preserve"> and Jane Maxwell</w:t>
                  </w:r>
                  <w:r>
                    <w:rPr>
                      <w:rFonts w:ascii="Calibri" w:hAnsi="Calibri"/>
                      <w:b w:val="0"/>
                      <w:bCs w:val="0"/>
                      <w:sz w:val="16"/>
                    </w:rPr>
                    <w:t xml:space="preserve"> (2010). </w:t>
                  </w:r>
                  <w:r>
                    <w:rPr>
                      <w:rFonts w:ascii="Calibri" w:hAnsi="Calibri"/>
                      <w:b w:val="0"/>
                      <w:bCs w:val="0"/>
                      <w:i/>
                      <w:iCs/>
                      <w:sz w:val="16"/>
                    </w:rPr>
                    <w:t xml:space="preserve">Where </w:t>
                  </w:r>
                  <w:proofErr w:type="gramStart"/>
                  <w:r>
                    <w:rPr>
                      <w:rFonts w:ascii="Calibri" w:hAnsi="Calibri"/>
                      <w:b w:val="0"/>
                      <w:bCs w:val="0"/>
                      <w:i/>
                      <w:iCs/>
                      <w:sz w:val="16"/>
                    </w:rPr>
                    <w:t>There</w:t>
                  </w:r>
                  <w:proofErr w:type="gramEnd"/>
                  <w:r>
                    <w:rPr>
                      <w:rFonts w:ascii="Calibri" w:hAnsi="Calibri"/>
                      <w:b w:val="0"/>
                      <w:bCs w:val="0"/>
                      <w:i/>
                      <w:iCs/>
                      <w:sz w:val="16"/>
                    </w:rPr>
                    <w:t xml:space="preserve"> is No Doctor: A Village Health Care Handbook.</w:t>
                  </w:r>
                  <w:r>
                    <w:rPr>
                      <w:rFonts w:ascii="Calibri" w:hAnsi="Calibri"/>
                      <w:b w:val="0"/>
                      <w:bCs w:val="0"/>
                      <w:sz w:val="16"/>
                    </w:rPr>
                    <w:t xml:space="preserve"> </w:t>
                  </w:r>
                  <w:r>
                    <w:rPr>
                      <w:rFonts w:ascii="Calibri" w:hAnsi="Calibri"/>
                      <w:b w:val="0"/>
                      <w:bCs w:val="0"/>
                      <w:sz w:val="16"/>
                      <w:szCs w:val="20"/>
                      <w:lang w:val="en-US"/>
                    </w:rPr>
                    <w:t xml:space="preserve">Rev. </w:t>
                  </w:r>
                  <w:proofErr w:type="gramStart"/>
                  <w:r>
                    <w:rPr>
                      <w:rFonts w:ascii="Calibri" w:hAnsi="Calibri"/>
                      <w:b w:val="0"/>
                      <w:bCs w:val="0"/>
                      <w:sz w:val="16"/>
                      <w:szCs w:val="20"/>
                      <w:lang w:val="en-US"/>
                    </w:rPr>
                    <w:t>ed</w:t>
                  </w:r>
                  <w:proofErr w:type="gramEnd"/>
                  <w:r>
                    <w:rPr>
                      <w:rFonts w:ascii="Calibri" w:hAnsi="Calibri"/>
                      <w:b w:val="0"/>
                      <w:bCs w:val="0"/>
                      <w:sz w:val="16"/>
                      <w:szCs w:val="20"/>
                      <w:lang w:val="en-US"/>
                    </w:rPr>
                    <w:t>.</w:t>
                  </w:r>
                  <w:r>
                    <w:rPr>
                      <w:rFonts w:ascii="Calibri" w:hAnsi="Calibri"/>
                      <w:b w:val="0"/>
                      <w:bCs w:val="0"/>
                      <w:sz w:val="16"/>
                    </w:rPr>
                    <w:t xml:space="preserve"> [Online], Available: </w:t>
                  </w:r>
                  <w:hyperlink r:id="rId19" w:history="1">
                    <w:r>
                      <w:rPr>
                        <w:rStyle w:val="Hyperlink"/>
                        <w:rFonts w:ascii="Calibri" w:hAnsi="Calibri" w:cs="Calibri"/>
                        <w:b w:val="0"/>
                        <w:bCs w:val="0"/>
                        <w:sz w:val="16"/>
                      </w:rPr>
                      <w:t>http://weblife.org/pdf/</w:t>
                    </w:r>
                  </w:hyperlink>
                </w:p>
                <w:p w:rsidR="000A66D7" w:rsidRDefault="000A66D7">
                  <w:pPr>
                    <w:pStyle w:val="Heading1"/>
                    <w:spacing w:after="0"/>
                    <w:rPr>
                      <w:rFonts w:ascii="Calibri" w:hAnsi="Calibri"/>
                      <w:b w:val="0"/>
                      <w:bCs w:val="0"/>
                      <w:sz w:val="16"/>
                    </w:rPr>
                  </w:pPr>
                  <w:r>
                    <w:rPr>
                      <w:rFonts w:ascii="Calibri" w:hAnsi="Calibri"/>
                      <w:b w:val="0"/>
                      <w:bCs w:val="0"/>
                      <w:sz w:val="16"/>
                    </w:rPr>
                    <w:t xml:space="preserve">where_there_is_no_doctor.pdf </w:t>
                  </w:r>
                </w:p>
                <w:p w:rsidR="000A66D7" w:rsidRDefault="000A66D7">
                  <w:pPr>
                    <w:pStyle w:val="Heading1"/>
                    <w:spacing w:after="0"/>
                    <w:rPr>
                      <w:rFonts w:ascii="Calibri" w:hAnsi="Calibri"/>
                      <w:b w:val="0"/>
                      <w:bCs w:val="0"/>
                      <w:sz w:val="16"/>
                    </w:rPr>
                  </w:pPr>
                  <w:r>
                    <w:rPr>
                      <w:rFonts w:ascii="Calibri" w:hAnsi="Calibri"/>
                      <w:b w:val="0"/>
                      <w:bCs w:val="0"/>
                      <w:sz w:val="16"/>
                    </w:rPr>
                    <w:t xml:space="preserve">Hard copy: Macmillan/TALC. Available: TALC. This can be ordered from TALC: </w:t>
                  </w:r>
                  <w:hyperlink r:id="rId20" w:history="1">
                    <w:r>
                      <w:rPr>
                        <w:rStyle w:val="Hyperlink"/>
                        <w:rFonts w:ascii="Calibri" w:hAnsi="Calibri" w:cs="Calibri"/>
                        <w:b w:val="0"/>
                        <w:bCs w:val="0"/>
                        <w:sz w:val="16"/>
                      </w:rPr>
                      <w:t>http://www.talcuk.org/books/where-there-is-no-doctor-african-edition.htm</w:t>
                    </w:r>
                  </w:hyperlink>
                  <w:r>
                    <w:rPr>
                      <w:rFonts w:ascii="Calibri" w:hAnsi="Calibri"/>
                      <w:b w:val="0"/>
                      <w:bCs w:val="0"/>
                      <w:sz w:val="16"/>
                    </w:rPr>
                    <w:t xml:space="preserve"> [Downloaded: 20.7.12].</w:t>
                  </w:r>
                </w:p>
                <w:p w:rsidR="000A66D7" w:rsidRDefault="000A66D7">
                  <w:pPr>
                    <w:rPr>
                      <w:rFonts w:ascii="Cambria" w:hAnsi="Cambria"/>
                    </w:rPr>
                  </w:pPr>
                </w:p>
              </w:tc>
            </w:tr>
          </w:tbl>
          <w:p w:rsidR="000A66D7" w:rsidRDefault="000A66D7">
            <w:pPr>
              <w:keepNext/>
              <w:spacing w:before="160" w:after="120"/>
              <w:rPr>
                <w:rFonts w:ascii="Arial Narrow" w:hAnsi="Arial Narrow"/>
                <w:b/>
                <w:lang w:eastAsia="fr-CH"/>
              </w:rPr>
            </w:pPr>
          </w:p>
        </w:tc>
        <w:tc>
          <w:tcPr>
            <w:tcW w:w="3244" w:type="pct"/>
          </w:tcPr>
          <w:p w:rsidR="000A66D7" w:rsidRDefault="000A66D7">
            <w:pPr>
              <w:keepNext/>
              <w:outlineLvl w:val="2"/>
              <w:rPr>
                <w:b/>
                <w:bCs/>
                <w:color w:val="17365D"/>
                <w:sz w:val="24"/>
                <w:szCs w:val="32"/>
              </w:rPr>
            </w:pPr>
          </w:p>
          <w:p w:rsidR="000A66D7" w:rsidRDefault="000A66D7">
            <w:pPr>
              <w:keepNext/>
              <w:outlineLvl w:val="2"/>
              <w:rPr>
                <w:b/>
                <w:bCs/>
                <w:color w:val="17365D"/>
                <w:sz w:val="32"/>
                <w:szCs w:val="32"/>
              </w:rPr>
            </w:pPr>
            <w:r>
              <w:rPr>
                <w:b/>
                <w:bCs/>
                <w:color w:val="17365D"/>
                <w:sz w:val="32"/>
                <w:szCs w:val="32"/>
              </w:rPr>
              <w:t xml:space="preserve">2.3   Learning Activity 1 – Understanding </w:t>
            </w:r>
            <w:proofErr w:type="spellStart"/>
            <w:r>
              <w:rPr>
                <w:b/>
                <w:bCs/>
                <w:color w:val="17365D"/>
                <w:sz w:val="32"/>
                <w:szCs w:val="32"/>
              </w:rPr>
              <w:t>diarrhea</w:t>
            </w:r>
            <w:proofErr w:type="spellEnd"/>
          </w:p>
          <w:p w:rsidR="000A66D7" w:rsidRDefault="000A66D7">
            <w:pPr>
              <w:keepNext/>
              <w:outlineLvl w:val="2"/>
              <w:rPr>
                <w:bCs/>
                <w:szCs w:val="28"/>
              </w:rPr>
            </w:pPr>
          </w:p>
          <w:p w:rsidR="000A66D7" w:rsidRDefault="000A66D7">
            <w:pPr>
              <w:keepNext/>
              <w:outlineLvl w:val="2"/>
              <w:rPr>
                <w:bCs/>
                <w:szCs w:val="28"/>
              </w:rPr>
            </w:pPr>
            <w:r>
              <w:rPr>
                <w:bCs/>
                <w:szCs w:val="28"/>
              </w:rPr>
              <w:t>Use your own knowledge, the internet or medical reference books to prepare responses to these questions:</w:t>
            </w:r>
          </w:p>
          <w:p w:rsidR="000A66D7" w:rsidRDefault="000A66D7">
            <w:pPr>
              <w:pStyle w:val="ListParagraph"/>
              <w:numPr>
                <w:ilvl w:val="0"/>
                <w:numId w:val="29"/>
              </w:numPr>
              <w:ind w:left="357" w:hanging="357"/>
            </w:pPr>
            <w:r>
              <w:t xml:space="preserve">What is </w:t>
            </w:r>
            <w:proofErr w:type="spellStart"/>
            <w:r>
              <w:t>diarrhea</w:t>
            </w:r>
            <w:proofErr w:type="spellEnd"/>
            <w:r>
              <w:t xml:space="preserve">*? What is meant by </w:t>
            </w:r>
            <w:proofErr w:type="spellStart"/>
            <w:r>
              <w:t>orofaecal</w:t>
            </w:r>
            <w:proofErr w:type="spellEnd"/>
            <w:r>
              <w:t xml:space="preserve"> transmission?</w:t>
            </w:r>
          </w:p>
          <w:p w:rsidR="000A66D7" w:rsidRDefault="000A66D7">
            <w:pPr>
              <w:pStyle w:val="ListParagraph"/>
              <w:numPr>
                <w:ilvl w:val="0"/>
                <w:numId w:val="29"/>
              </w:numPr>
              <w:ind w:left="357" w:hanging="357"/>
            </w:pPr>
            <w:r>
              <w:t xml:space="preserve">What are the most likely </w:t>
            </w:r>
            <w:r>
              <w:rPr>
                <w:u w:val="single"/>
              </w:rPr>
              <w:t>causes of death</w:t>
            </w:r>
            <w:r>
              <w:t xml:space="preserve"> in a child with </w:t>
            </w:r>
            <w:proofErr w:type="spellStart"/>
            <w:r>
              <w:t>diarrhea</w:t>
            </w:r>
            <w:proofErr w:type="spellEnd"/>
            <w:r>
              <w:t>? Consider social, economic and cultural factors too.</w:t>
            </w:r>
          </w:p>
          <w:p w:rsidR="000A66D7" w:rsidRDefault="000A66D7">
            <w:pPr>
              <w:pStyle w:val="ListParagraph"/>
              <w:numPr>
                <w:ilvl w:val="0"/>
                <w:numId w:val="29"/>
              </w:numPr>
              <w:ind w:left="357" w:hanging="357"/>
            </w:pPr>
            <w:r>
              <w:t xml:space="preserve">What is the under five mortality rate from </w:t>
            </w:r>
            <w:proofErr w:type="spellStart"/>
            <w:r>
              <w:t>diarrhea</w:t>
            </w:r>
            <w:proofErr w:type="spellEnd"/>
            <w:r>
              <w:t xml:space="preserve"> in your country?</w:t>
            </w:r>
          </w:p>
          <w:p w:rsidR="000A66D7" w:rsidRDefault="000A66D7">
            <w:pPr>
              <w:pStyle w:val="ListParagraph"/>
              <w:numPr>
                <w:ilvl w:val="0"/>
                <w:numId w:val="29"/>
              </w:numPr>
              <w:ind w:left="357" w:hanging="357"/>
            </w:pPr>
            <w:r>
              <w:t>What factors exacerbate diarrheal disease?</w:t>
            </w:r>
          </w:p>
          <w:p w:rsidR="000A66D7" w:rsidRDefault="000A66D7">
            <w:pPr>
              <w:pStyle w:val="ListParagraph"/>
              <w:keepNext/>
              <w:numPr>
                <w:ilvl w:val="0"/>
                <w:numId w:val="29"/>
              </w:numPr>
              <w:ind w:left="357" w:hanging="357"/>
              <w:outlineLvl w:val="2"/>
              <w:rPr>
                <w:bCs/>
                <w:color w:val="17365D"/>
                <w:szCs w:val="28"/>
              </w:rPr>
            </w:pPr>
            <w:r>
              <w:t xml:space="preserve">What are the recommended home-care strategies for dealing with children with </w:t>
            </w:r>
            <w:proofErr w:type="spellStart"/>
            <w:r>
              <w:t>diarrhea</w:t>
            </w:r>
            <w:proofErr w:type="spellEnd"/>
            <w:r>
              <w:t>? What strategies are used if the child is admitted to hospital?</w:t>
            </w:r>
          </w:p>
          <w:p w:rsidR="000A66D7" w:rsidRDefault="000A66D7">
            <w:pPr>
              <w:pStyle w:val="ListParagraph"/>
              <w:keepNext/>
              <w:numPr>
                <w:ilvl w:val="0"/>
                <w:numId w:val="29"/>
              </w:numPr>
              <w:ind w:left="357" w:hanging="357"/>
              <w:outlineLvl w:val="2"/>
            </w:pPr>
            <w:r>
              <w:t xml:space="preserve">What are some of the controversial issues surrounding Oral Rehydration Therapy (ORT)? </w:t>
            </w:r>
          </w:p>
          <w:p w:rsidR="000A66D7" w:rsidRDefault="000A66D7">
            <w:pPr>
              <w:pStyle w:val="ListParagraph"/>
              <w:keepNext/>
              <w:ind w:left="0"/>
              <w:outlineLvl w:val="2"/>
            </w:pPr>
          </w:p>
          <w:tbl>
            <w:tblPr>
              <w:tblW w:w="5615" w:type="dxa"/>
              <w:jc w:val="center"/>
              <w:tblInd w:w="164" w:type="dxa"/>
              <w:shd w:val="clear" w:color="auto" w:fill="DBE5F1"/>
              <w:tblLook w:val="04A0" w:firstRow="1" w:lastRow="0" w:firstColumn="1" w:lastColumn="0" w:noHBand="0" w:noVBand="1"/>
            </w:tblPr>
            <w:tblGrid>
              <w:gridCol w:w="5615"/>
            </w:tblGrid>
            <w:tr w:rsidR="000A66D7" w:rsidTr="00954E0E">
              <w:trPr>
                <w:trHeight w:val="3456"/>
                <w:jc w:val="center"/>
              </w:trPr>
              <w:tc>
                <w:tcPr>
                  <w:tcW w:w="5615" w:type="dxa"/>
                  <w:shd w:val="clear" w:color="auto" w:fill="DBE5F1"/>
                </w:tcPr>
                <w:p w:rsidR="000A66D7" w:rsidRDefault="000A66D7">
                  <w:pPr>
                    <w:pStyle w:val="Heading2"/>
                    <w:spacing w:before="0" w:after="0"/>
                    <w:rPr>
                      <w:b w:val="0"/>
                      <w:bCs w:val="0"/>
                      <w:sz w:val="20"/>
                    </w:rPr>
                  </w:pPr>
                </w:p>
                <w:p w:rsidR="000A66D7" w:rsidRPr="00954E0E" w:rsidRDefault="000A66D7">
                  <w:pPr>
                    <w:pStyle w:val="Heading2"/>
                    <w:spacing w:before="0" w:after="0"/>
                    <w:rPr>
                      <w:rFonts w:ascii="Calibri" w:hAnsi="Calibri"/>
                      <w:sz w:val="20"/>
                      <w:szCs w:val="20"/>
                    </w:rPr>
                  </w:pPr>
                  <w:r w:rsidRPr="00954E0E">
                    <w:rPr>
                      <w:rFonts w:ascii="Calibri" w:hAnsi="Calibri"/>
                      <w:sz w:val="20"/>
                      <w:szCs w:val="20"/>
                    </w:rPr>
                    <w:t>References for Activity 1</w:t>
                  </w:r>
                </w:p>
                <w:p w:rsidR="000A66D7" w:rsidRPr="00954E0E" w:rsidRDefault="000A66D7">
                  <w:pPr>
                    <w:pStyle w:val="PlainText"/>
                    <w:spacing w:after="120"/>
                    <w:rPr>
                      <w:rFonts w:ascii="Calibri" w:hAnsi="Calibri" w:cs="Calibri"/>
                    </w:rPr>
                  </w:pPr>
                  <w:r w:rsidRPr="00954E0E">
                    <w:rPr>
                      <w:rFonts w:ascii="Calibri" w:hAnsi="Calibri" w:cs="Calibri"/>
                    </w:rPr>
                    <w:t>There is a list of possible references after Section 4 which you may wish to use.</w:t>
                  </w:r>
                </w:p>
                <w:p w:rsidR="000A66D7" w:rsidRPr="00954E0E" w:rsidRDefault="000A66D7">
                  <w:pPr>
                    <w:pStyle w:val="Heading2"/>
                    <w:spacing w:before="0" w:after="0"/>
                    <w:rPr>
                      <w:rFonts w:ascii="Calibri" w:hAnsi="Calibri"/>
                      <w:b w:val="0"/>
                      <w:bCs w:val="0"/>
                      <w:sz w:val="20"/>
                      <w:szCs w:val="20"/>
                    </w:rPr>
                  </w:pPr>
                  <w:r w:rsidRPr="00954E0E">
                    <w:rPr>
                      <w:rFonts w:ascii="Calibri" w:hAnsi="Calibri"/>
                      <w:b w:val="0"/>
                      <w:bCs w:val="0"/>
                      <w:sz w:val="20"/>
                      <w:szCs w:val="20"/>
                    </w:rPr>
                    <w:t>a) *Also spelt diarrhoea; a definition has been included at the end of Section 3, taken from one of the References.</w:t>
                  </w:r>
                </w:p>
                <w:p w:rsidR="000A66D7" w:rsidRPr="00954E0E" w:rsidRDefault="000A66D7">
                  <w:pPr>
                    <w:pStyle w:val="Heading2"/>
                    <w:spacing w:before="0" w:after="0"/>
                    <w:rPr>
                      <w:rFonts w:ascii="Calibri" w:hAnsi="Calibri"/>
                      <w:b w:val="0"/>
                      <w:bCs w:val="0"/>
                      <w:sz w:val="20"/>
                      <w:szCs w:val="20"/>
                    </w:rPr>
                  </w:pPr>
                  <w:r w:rsidRPr="00954E0E">
                    <w:rPr>
                      <w:rFonts w:ascii="Calibri" w:hAnsi="Calibri"/>
                      <w:b w:val="0"/>
                      <w:bCs w:val="0"/>
                      <w:sz w:val="20"/>
                      <w:szCs w:val="20"/>
                    </w:rPr>
                    <w:t xml:space="preserve">(f) For this question, you will find this reading interesting: Werner, D. &amp; Sanders, D. (1997). </w:t>
                  </w:r>
                  <w:proofErr w:type="gramStart"/>
                  <w:r w:rsidRPr="00954E0E">
                    <w:rPr>
                      <w:rFonts w:ascii="Calibri" w:hAnsi="Calibri"/>
                      <w:b w:val="0"/>
                      <w:bCs w:val="0"/>
                      <w:i/>
                      <w:iCs/>
                      <w:sz w:val="20"/>
                      <w:szCs w:val="20"/>
                    </w:rPr>
                    <w:t>Questioning the Solution: The Politics of Primary Health Care and Child Survival.</w:t>
                  </w:r>
                  <w:proofErr w:type="gramEnd"/>
                  <w:r w:rsidRPr="00954E0E">
                    <w:rPr>
                      <w:rFonts w:ascii="Calibri" w:hAnsi="Calibri"/>
                      <w:b w:val="0"/>
                      <w:bCs w:val="0"/>
                      <w:i/>
                      <w:iCs/>
                      <w:sz w:val="20"/>
                      <w:szCs w:val="20"/>
                    </w:rPr>
                    <w:t xml:space="preserve"> </w:t>
                  </w:r>
                  <w:r w:rsidRPr="00954E0E">
                    <w:rPr>
                      <w:rFonts w:ascii="Calibri" w:hAnsi="Calibri"/>
                      <w:b w:val="0"/>
                      <w:bCs w:val="0"/>
                      <w:sz w:val="20"/>
                      <w:szCs w:val="20"/>
                    </w:rPr>
                    <w:t xml:space="preserve">Palo Alto, CA: </w:t>
                  </w:r>
                  <w:proofErr w:type="spellStart"/>
                  <w:r w:rsidRPr="00954E0E">
                    <w:rPr>
                      <w:rFonts w:ascii="Calibri" w:hAnsi="Calibri"/>
                      <w:b w:val="0"/>
                      <w:bCs w:val="0"/>
                      <w:sz w:val="20"/>
                      <w:szCs w:val="20"/>
                    </w:rPr>
                    <w:t>HealthWrights</w:t>
                  </w:r>
                  <w:proofErr w:type="spellEnd"/>
                  <w:r w:rsidRPr="00954E0E">
                    <w:rPr>
                      <w:rFonts w:ascii="Calibri" w:hAnsi="Calibri"/>
                      <w:b w:val="0"/>
                      <w:bCs w:val="0"/>
                      <w:sz w:val="20"/>
                      <w:szCs w:val="20"/>
                    </w:rPr>
                    <w:t xml:space="preserve">: Chapters 6-10 pp32-72. It can be downloaded from the </w:t>
                  </w:r>
                  <w:proofErr w:type="spellStart"/>
                  <w:r w:rsidRPr="00954E0E">
                    <w:rPr>
                      <w:rFonts w:ascii="Calibri" w:hAnsi="Calibri"/>
                      <w:b w:val="0"/>
                      <w:bCs w:val="0"/>
                      <w:sz w:val="20"/>
                      <w:szCs w:val="20"/>
                    </w:rPr>
                    <w:t>HealthWrights</w:t>
                  </w:r>
                  <w:proofErr w:type="spellEnd"/>
                  <w:r w:rsidRPr="00954E0E">
                    <w:rPr>
                      <w:rFonts w:ascii="Calibri" w:hAnsi="Calibri"/>
                      <w:b w:val="0"/>
                      <w:bCs w:val="0"/>
                      <w:sz w:val="20"/>
                      <w:szCs w:val="20"/>
                    </w:rPr>
                    <w:t xml:space="preserve"> Workgroup for People’s Health and Rights at </w:t>
                  </w:r>
                  <w:hyperlink r:id="rId21" w:history="1">
                    <w:r w:rsidRPr="00954E0E">
                      <w:rPr>
                        <w:rStyle w:val="Hyperlink"/>
                        <w:rFonts w:ascii="Calibri" w:hAnsi="Calibri" w:cs="Calibri"/>
                        <w:b w:val="0"/>
                        <w:bCs w:val="0"/>
                        <w:sz w:val="20"/>
                        <w:szCs w:val="20"/>
                      </w:rPr>
                      <w:t>http://www.healthwrights.org/hw/books/208-ques-solu</w:t>
                    </w:r>
                  </w:hyperlink>
                  <w:r w:rsidRPr="00954E0E">
                    <w:rPr>
                      <w:rFonts w:ascii="Calibri" w:hAnsi="Calibri"/>
                      <w:b w:val="0"/>
                      <w:bCs w:val="0"/>
                      <w:sz w:val="20"/>
                      <w:szCs w:val="20"/>
                    </w:rPr>
                    <w:t xml:space="preserve"> [Downloaded 17.07.12].</w:t>
                  </w:r>
                </w:p>
                <w:p w:rsidR="000A66D7" w:rsidRDefault="000A66D7">
                  <w:pPr>
                    <w:pStyle w:val="NoSpacing"/>
                    <w:rPr>
                      <w:rFonts w:ascii="Cambria" w:hAnsi="Cambria"/>
                    </w:rPr>
                  </w:pPr>
                </w:p>
              </w:tc>
            </w:tr>
          </w:tbl>
          <w:p w:rsidR="000A66D7" w:rsidRDefault="000A66D7">
            <w:pPr>
              <w:pStyle w:val="ListParagraph"/>
              <w:keepNext/>
              <w:ind w:left="0"/>
              <w:outlineLvl w:val="2"/>
              <w:rPr>
                <w:bCs/>
                <w:color w:val="17365D"/>
                <w:szCs w:val="28"/>
              </w:rPr>
            </w:pPr>
          </w:p>
        </w:tc>
      </w:tr>
    </w:tbl>
    <w:p w:rsidR="000A66D7" w:rsidRDefault="000A66D7">
      <w:pPr>
        <w:pStyle w:val="NoSpacing"/>
        <w:rPr>
          <w:rFonts w:ascii="Cambria" w:hAnsi="Cambria"/>
          <w:lang w:val="en-AU"/>
        </w:rPr>
      </w:pPr>
    </w:p>
    <w:p w:rsidR="000A66D7" w:rsidRDefault="000A66D7">
      <w:pPr>
        <w:spacing w:before="120"/>
      </w:pPr>
    </w:p>
    <w:tbl>
      <w:tblPr>
        <w:tblW w:w="4991" w:type="pct"/>
        <w:tblBorders>
          <w:top w:val="single" w:sz="6" w:space="0" w:color="BFBFBF"/>
          <w:left w:val="single" w:sz="6" w:space="0" w:color="BFBFBF"/>
          <w:bottom w:val="single" w:sz="6" w:space="0" w:color="BFBFBF"/>
          <w:right w:val="single" w:sz="6" w:space="0" w:color="BFBFBF"/>
        </w:tblBorders>
        <w:tblLayout w:type="fixed"/>
        <w:tblCellMar>
          <w:bottom w:w="170" w:type="dxa"/>
          <w:right w:w="170" w:type="dxa"/>
        </w:tblCellMar>
        <w:tblLook w:val="01E0" w:firstRow="1" w:lastRow="1" w:firstColumn="1" w:lastColumn="1" w:noHBand="0" w:noVBand="0"/>
      </w:tblPr>
      <w:tblGrid>
        <w:gridCol w:w="3512"/>
        <w:gridCol w:w="6228"/>
      </w:tblGrid>
      <w:tr w:rsidR="000A66D7">
        <w:trPr>
          <w:cantSplit/>
          <w:trHeight w:val="2933"/>
        </w:trPr>
        <w:tc>
          <w:tcPr>
            <w:tcW w:w="1803" w:type="pct"/>
          </w:tcPr>
          <w:p w:rsidR="000A66D7" w:rsidRDefault="002F7B5D">
            <w:pPr>
              <w:keepNext/>
              <w:spacing w:before="160" w:after="120"/>
              <w:rPr>
                <w:b/>
                <w:noProof/>
                <w:lang w:eastAsia="en-ZA"/>
              </w:rPr>
            </w:pPr>
            <w:r>
              <w:rPr>
                <w:b/>
                <w:noProof/>
                <w:lang w:val="en-ZA" w:eastAsia="en-ZA"/>
              </w:rPr>
              <w:lastRenderedPageBreak/>
              <w:drawing>
                <wp:inline distT="0" distB="0" distL="0" distR="0">
                  <wp:extent cx="1184275" cy="1008380"/>
                  <wp:effectExtent l="19050" t="0" r="0" b="0"/>
                  <wp:docPr id="3" name="Picture 3" descr="UWC SOPH Malnutrition_LB_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C SOPH Malnutrition_LB_Activity"/>
                          <pic:cNvPicPr>
                            <a:picLocks noChangeAspect="1" noChangeArrowheads="1"/>
                          </pic:cNvPicPr>
                        </pic:nvPicPr>
                        <pic:blipFill>
                          <a:blip r:embed="rId18" cstate="print"/>
                          <a:srcRect/>
                          <a:stretch>
                            <a:fillRect/>
                          </a:stretch>
                        </pic:blipFill>
                        <pic:spPr bwMode="auto">
                          <a:xfrm>
                            <a:off x="0" y="0"/>
                            <a:ext cx="1184275" cy="1008380"/>
                          </a:xfrm>
                          <a:prstGeom prst="rect">
                            <a:avLst/>
                          </a:prstGeom>
                          <a:noFill/>
                          <a:ln w="9525">
                            <a:noFill/>
                            <a:miter lim="800000"/>
                            <a:headEnd/>
                            <a:tailEnd/>
                          </a:ln>
                        </pic:spPr>
                      </pic:pic>
                    </a:graphicData>
                  </a:graphic>
                </wp:inline>
              </w:drawing>
            </w:r>
          </w:p>
          <w:tbl>
            <w:tblPr>
              <w:tblpPr w:leftFromText="180" w:rightFromText="180" w:vertAnchor="page" w:horzAnchor="margin" w:tblpY="1916"/>
              <w:tblOverlap w:val="never"/>
              <w:tblW w:w="2968" w:type="dxa"/>
              <w:shd w:val="clear" w:color="auto" w:fill="DBE5F1"/>
              <w:tblLayout w:type="fixed"/>
              <w:tblLook w:val="04A0" w:firstRow="1" w:lastRow="0" w:firstColumn="1" w:lastColumn="0" w:noHBand="0" w:noVBand="1"/>
            </w:tblPr>
            <w:tblGrid>
              <w:gridCol w:w="2968"/>
            </w:tblGrid>
            <w:tr w:rsidR="000A66D7">
              <w:trPr>
                <w:trHeight w:val="1809"/>
              </w:trPr>
              <w:tc>
                <w:tcPr>
                  <w:tcW w:w="2968" w:type="dxa"/>
                  <w:shd w:val="clear" w:color="auto" w:fill="DBE5F1"/>
                </w:tcPr>
                <w:p w:rsidR="000A66D7" w:rsidRDefault="000A66D7">
                  <w:pPr>
                    <w:pStyle w:val="Heading4"/>
                    <w:spacing w:before="120" w:after="0"/>
                  </w:pPr>
                  <w:r>
                    <w:t>Reference</w:t>
                  </w:r>
                </w:p>
                <w:p w:rsidR="000A66D7" w:rsidRDefault="000A66D7">
                  <w:pPr>
                    <w:pStyle w:val="Heading1"/>
                    <w:spacing w:before="120" w:after="0"/>
                    <w:rPr>
                      <w:rFonts w:ascii="Calibri" w:hAnsi="Calibri"/>
                      <w:b w:val="0"/>
                      <w:bCs w:val="0"/>
                      <w:sz w:val="22"/>
                      <w:szCs w:val="22"/>
                    </w:rPr>
                  </w:pPr>
                  <w:r>
                    <w:rPr>
                      <w:rFonts w:ascii="Calibri" w:hAnsi="Calibri"/>
                      <w:b w:val="0"/>
                      <w:bCs w:val="0"/>
                      <w:sz w:val="22"/>
                      <w:szCs w:val="22"/>
                    </w:rPr>
                    <w:t xml:space="preserve">Werner, D. </w:t>
                  </w:r>
                  <w:r>
                    <w:rPr>
                      <w:rFonts w:ascii="Calibri" w:hAnsi="Calibri"/>
                      <w:b w:val="0"/>
                      <w:bCs w:val="0"/>
                      <w:sz w:val="22"/>
                      <w:szCs w:val="22"/>
                      <w:lang w:val="en-US"/>
                    </w:rPr>
                    <w:t xml:space="preserve">with Carol </w:t>
                  </w:r>
                  <w:proofErr w:type="spellStart"/>
                  <w:r>
                    <w:rPr>
                      <w:rFonts w:ascii="Calibri" w:hAnsi="Calibri"/>
                      <w:b w:val="0"/>
                      <w:bCs w:val="0"/>
                      <w:sz w:val="22"/>
                      <w:szCs w:val="22"/>
                      <w:lang w:val="en-US"/>
                    </w:rPr>
                    <w:t>Thuman</w:t>
                  </w:r>
                  <w:proofErr w:type="spellEnd"/>
                  <w:r>
                    <w:rPr>
                      <w:rFonts w:ascii="Calibri" w:hAnsi="Calibri"/>
                      <w:b w:val="0"/>
                      <w:bCs w:val="0"/>
                      <w:sz w:val="22"/>
                      <w:szCs w:val="22"/>
                      <w:lang w:val="en-US"/>
                    </w:rPr>
                    <w:t xml:space="preserve"> and Jane Maxwell</w:t>
                  </w:r>
                  <w:r>
                    <w:rPr>
                      <w:rFonts w:ascii="Calibri" w:hAnsi="Calibri"/>
                      <w:b w:val="0"/>
                      <w:bCs w:val="0"/>
                      <w:sz w:val="22"/>
                      <w:szCs w:val="22"/>
                    </w:rPr>
                    <w:t xml:space="preserve"> (2010). </w:t>
                  </w:r>
                  <w:r>
                    <w:rPr>
                      <w:rFonts w:ascii="Calibri" w:hAnsi="Calibri"/>
                      <w:b w:val="0"/>
                      <w:bCs w:val="0"/>
                      <w:i/>
                      <w:iCs/>
                      <w:sz w:val="22"/>
                      <w:szCs w:val="22"/>
                    </w:rPr>
                    <w:t xml:space="preserve">Where </w:t>
                  </w:r>
                  <w:proofErr w:type="gramStart"/>
                  <w:r>
                    <w:rPr>
                      <w:rFonts w:ascii="Calibri" w:hAnsi="Calibri"/>
                      <w:b w:val="0"/>
                      <w:bCs w:val="0"/>
                      <w:i/>
                      <w:iCs/>
                      <w:sz w:val="22"/>
                      <w:szCs w:val="22"/>
                    </w:rPr>
                    <w:t>There</w:t>
                  </w:r>
                  <w:proofErr w:type="gramEnd"/>
                  <w:r>
                    <w:rPr>
                      <w:rFonts w:ascii="Calibri" w:hAnsi="Calibri"/>
                      <w:b w:val="0"/>
                      <w:bCs w:val="0"/>
                      <w:i/>
                      <w:iCs/>
                      <w:sz w:val="22"/>
                      <w:szCs w:val="22"/>
                    </w:rPr>
                    <w:t xml:space="preserve"> is No Doctor: A Village Health Care Handbook.</w:t>
                  </w:r>
                  <w:r>
                    <w:rPr>
                      <w:rFonts w:ascii="Calibri" w:hAnsi="Calibri"/>
                      <w:b w:val="0"/>
                      <w:bCs w:val="0"/>
                      <w:sz w:val="22"/>
                      <w:szCs w:val="22"/>
                    </w:rPr>
                    <w:t xml:space="preserve"> </w:t>
                  </w:r>
                  <w:r>
                    <w:rPr>
                      <w:rFonts w:ascii="Calibri" w:hAnsi="Calibri"/>
                      <w:b w:val="0"/>
                      <w:bCs w:val="0"/>
                      <w:sz w:val="22"/>
                      <w:szCs w:val="22"/>
                      <w:lang w:val="en-US"/>
                    </w:rPr>
                    <w:t xml:space="preserve">Rev. </w:t>
                  </w:r>
                  <w:proofErr w:type="gramStart"/>
                  <w:r>
                    <w:rPr>
                      <w:rFonts w:ascii="Calibri" w:hAnsi="Calibri"/>
                      <w:b w:val="0"/>
                      <w:bCs w:val="0"/>
                      <w:sz w:val="22"/>
                      <w:szCs w:val="22"/>
                      <w:lang w:val="en-US"/>
                    </w:rPr>
                    <w:t>ed</w:t>
                  </w:r>
                  <w:proofErr w:type="gramEnd"/>
                  <w:r>
                    <w:rPr>
                      <w:rFonts w:ascii="Calibri" w:hAnsi="Calibri"/>
                      <w:b w:val="0"/>
                      <w:bCs w:val="0"/>
                      <w:sz w:val="22"/>
                      <w:szCs w:val="22"/>
                      <w:lang w:val="en-US"/>
                    </w:rPr>
                    <w:t>.</w:t>
                  </w:r>
                  <w:r>
                    <w:rPr>
                      <w:rFonts w:ascii="Calibri" w:hAnsi="Calibri"/>
                      <w:b w:val="0"/>
                      <w:bCs w:val="0"/>
                      <w:sz w:val="22"/>
                      <w:szCs w:val="22"/>
                    </w:rPr>
                    <w:t xml:space="preserve"> [Online], Available: http://weblife.org/pdf/where_there_is_no_doctor.pdf Hard copy: Macmillan/TALC. Available: TALC. This can be ordered from TALC: </w:t>
                  </w:r>
                  <w:hyperlink r:id="rId22" w:history="1">
                    <w:r>
                      <w:rPr>
                        <w:rStyle w:val="Hyperlink"/>
                        <w:rFonts w:ascii="Calibri" w:hAnsi="Calibri" w:cs="Calibri"/>
                        <w:b w:val="0"/>
                        <w:bCs w:val="0"/>
                        <w:sz w:val="22"/>
                        <w:szCs w:val="22"/>
                      </w:rPr>
                      <w:t>http://www.talcuk.org/books/where-there-is-no-doctor-african-edition.htm</w:t>
                    </w:r>
                  </w:hyperlink>
                  <w:r>
                    <w:rPr>
                      <w:rFonts w:ascii="Calibri" w:hAnsi="Calibri"/>
                      <w:b w:val="0"/>
                      <w:bCs w:val="0"/>
                      <w:sz w:val="22"/>
                      <w:szCs w:val="22"/>
                    </w:rPr>
                    <w:t xml:space="preserve"> [Downloaded: 20.7.12].</w:t>
                  </w:r>
                </w:p>
                <w:p w:rsidR="000A66D7" w:rsidRDefault="000A66D7"/>
              </w:tc>
            </w:tr>
          </w:tbl>
          <w:p w:rsidR="000A66D7" w:rsidRDefault="000A66D7">
            <w:pPr>
              <w:keepNext/>
              <w:spacing w:before="160" w:after="120"/>
              <w:rPr>
                <w:b/>
                <w:lang w:eastAsia="fr-CH"/>
              </w:rPr>
            </w:pPr>
          </w:p>
        </w:tc>
        <w:tc>
          <w:tcPr>
            <w:tcW w:w="3197" w:type="pct"/>
          </w:tcPr>
          <w:p w:rsidR="000A66D7" w:rsidRDefault="000A66D7">
            <w:pPr>
              <w:keepNext/>
              <w:outlineLvl w:val="2"/>
              <w:rPr>
                <w:b/>
                <w:bCs/>
                <w:color w:val="17365D"/>
              </w:rPr>
            </w:pPr>
          </w:p>
          <w:p w:rsidR="000A66D7" w:rsidRDefault="000A66D7">
            <w:pPr>
              <w:keepNext/>
              <w:outlineLvl w:val="2"/>
              <w:rPr>
                <w:b/>
                <w:bCs/>
                <w:color w:val="17365D"/>
                <w:sz w:val="32"/>
                <w:szCs w:val="32"/>
              </w:rPr>
            </w:pPr>
            <w:r>
              <w:rPr>
                <w:b/>
                <w:bCs/>
                <w:color w:val="17365D"/>
                <w:sz w:val="32"/>
                <w:szCs w:val="32"/>
              </w:rPr>
              <w:t xml:space="preserve">2.4   Learning Activity 2 – Considering the causes of </w:t>
            </w:r>
            <w:proofErr w:type="spellStart"/>
            <w:r>
              <w:rPr>
                <w:b/>
                <w:bCs/>
                <w:color w:val="17365D"/>
                <w:sz w:val="32"/>
                <w:szCs w:val="32"/>
              </w:rPr>
              <w:t>diarrhea</w:t>
            </w:r>
            <w:proofErr w:type="spellEnd"/>
            <w:r>
              <w:rPr>
                <w:b/>
                <w:bCs/>
                <w:color w:val="17365D"/>
                <w:sz w:val="32"/>
                <w:szCs w:val="32"/>
              </w:rPr>
              <w:t xml:space="preserve"> in </w:t>
            </w:r>
            <w:proofErr w:type="spellStart"/>
            <w:r>
              <w:rPr>
                <w:b/>
                <w:bCs/>
                <w:color w:val="17365D"/>
                <w:sz w:val="32"/>
                <w:szCs w:val="32"/>
              </w:rPr>
              <w:t>Kavu</w:t>
            </w:r>
            <w:proofErr w:type="spellEnd"/>
            <w:r>
              <w:rPr>
                <w:b/>
                <w:bCs/>
                <w:color w:val="17365D"/>
                <w:sz w:val="32"/>
                <w:szCs w:val="32"/>
              </w:rPr>
              <w:t xml:space="preserve"> </w:t>
            </w:r>
            <w:proofErr w:type="spellStart"/>
            <w:r>
              <w:rPr>
                <w:b/>
                <w:bCs/>
                <w:color w:val="17365D"/>
                <w:sz w:val="32"/>
                <w:szCs w:val="32"/>
              </w:rPr>
              <w:t>Mahali</w:t>
            </w:r>
            <w:proofErr w:type="spellEnd"/>
            <w:r>
              <w:rPr>
                <w:sz w:val="32"/>
                <w:szCs w:val="32"/>
              </w:rPr>
              <w:t xml:space="preserve"> </w:t>
            </w:r>
          </w:p>
          <w:p w:rsidR="000A66D7" w:rsidRDefault="000A66D7">
            <w:pPr>
              <w:keepNext/>
              <w:outlineLvl w:val="2"/>
              <w:rPr>
                <w:bCs/>
              </w:rPr>
            </w:pPr>
          </w:p>
          <w:p w:rsidR="000A66D7" w:rsidRDefault="000A66D7">
            <w:pPr>
              <w:pStyle w:val="ListParagraph"/>
              <w:keepNext/>
              <w:numPr>
                <w:ilvl w:val="0"/>
                <w:numId w:val="46"/>
              </w:numPr>
              <w:spacing w:after="120"/>
              <w:outlineLvl w:val="2"/>
            </w:pPr>
            <w:r>
              <w:t xml:space="preserve">Now that you have considered the clinical reasons for children dying from </w:t>
            </w:r>
            <w:proofErr w:type="spellStart"/>
            <w:r>
              <w:t>diarrhea</w:t>
            </w:r>
            <w:proofErr w:type="spellEnd"/>
            <w:r>
              <w:t xml:space="preserve">, we turn to the </w:t>
            </w:r>
            <w:r>
              <w:rPr>
                <w:u w:val="single"/>
              </w:rPr>
              <w:t xml:space="preserve">causes of </w:t>
            </w:r>
            <w:proofErr w:type="spellStart"/>
            <w:r>
              <w:rPr>
                <w:u w:val="single"/>
              </w:rPr>
              <w:t>diarrhea</w:t>
            </w:r>
            <w:proofErr w:type="spellEnd"/>
            <w:r>
              <w:t xml:space="preserve">. The most immediate causes are illustrated through the well-known F diagram developed by Wagner and </w:t>
            </w:r>
            <w:proofErr w:type="spellStart"/>
            <w:r>
              <w:t>Laniox</w:t>
            </w:r>
            <w:proofErr w:type="spellEnd"/>
            <w:r>
              <w:t xml:space="preserve"> (1958) below, which shows the transmission chain of </w:t>
            </w:r>
            <w:proofErr w:type="spellStart"/>
            <w:r>
              <w:t>diarrhea</w:t>
            </w:r>
            <w:proofErr w:type="spellEnd"/>
            <w:r>
              <w:t xml:space="preserve">. Read through the Case Context (parts 3.1 and 3.2) and identify which of these F factors are likely to affect under-5 children in </w:t>
            </w:r>
            <w:proofErr w:type="spellStart"/>
            <w:r>
              <w:t>Kavu</w:t>
            </w:r>
            <w:proofErr w:type="spellEnd"/>
            <w:r>
              <w:t xml:space="preserve">, explaining why you say so. </w:t>
            </w:r>
          </w:p>
          <w:p w:rsidR="000A66D7" w:rsidRDefault="000A66D7">
            <w:pPr>
              <w:pStyle w:val="ListParagraph"/>
              <w:keepNext/>
              <w:numPr>
                <w:ilvl w:val="0"/>
                <w:numId w:val="46"/>
              </w:numPr>
              <w:spacing w:after="120"/>
              <w:outlineLvl w:val="2"/>
            </w:pPr>
            <w:r>
              <w:t xml:space="preserve">Then take each of the relevant factors, e.g. “fingers”, and ask the question </w:t>
            </w:r>
            <w:proofErr w:type="gramStart"/>
            <w:r>
              <w:rPr>
                <w:i/>
                <w:iCs/>
              </w:rPr>
              <w:t>But</w:t>
            </w:r>
            <w:proofErr w:type="gramEnd"/>
            <w:r>
              <w:rPr>
                <w:i/>
                <w:iCs/>
              </w:rPr>
              <w:t xml:space="preserve"> why</w:t>
            </w:r>
            <w:r>
              <w:t xml:space="preserve"> is this so? This technique comes from David Werner’s seminal book </w:t>
            </w:r>
            <w:r>
              <w:rPr>
                <w:i/>
                <w:iCs/>
              </w:rPr>
              <w:t xml:space="preserve">Where there is no Doctor, </w:t>
            </w:r>
            <w:r>
              <w:t>2010. It should enable you to think beyond the direct causes to the underlying and deep systemic causes, which may be economic, social and political in nature. Some may suggest the same underlying factors. Jot down your answers in each column; in this way you are starting to develop an understanding of the most important conditions and factors which you would have to address to break the transmission chain as a Public Health worker. You will use this brainstorm in the next activity.</w:t>
            </w:r>
          </w:p>
          <w:p w:rsidR="000A66D7" w:rsidRDefault="000A66D7">
            <w:pPr>
              <w:pStyle w:val="NormalWeb"/>
              <w:spacing w:before="0" w:beforeAutospacing="0" w:after="0" w:afterAutospacing="0"/>
              <w:rPr>
                <w:rFonts w:cs="Calibri"/>
                <w:sz w:val="22"/>
                <w:szCs w:val="22"/>
              </w:rPr>
            </w:pPr>
            <w:r>
              <w:rPr>
                <w:rFonts w:cs="Calibri"/>
                <w:sz w:val="22"/>
                <w:szCs w:val="22"/>
              </w:rPr>
              <w:t xml:space="preserve"> </w:t>
            </w:r>
          </w:p>
        </w:tc>
      </w:tr>
    </w:tbl>
    <w:p w:rsidR="000A66D7" w:rsidRDefault="000A66D7">
      <w:pPr>
        <w:pStyle w:val="Heading4"/>
        <w:spacing w:before="0" w:after="0"/>
      </w:pPr>
    </w:p>
    <w:p w:rsidR="000A66D7" w:rsidRDefault="000A66D7">
      <w:pPr>
        <w:autoSpaceDE w:val="0"/>
        <w:autoSpaceDN w:val="0"/>
        <w:adjustRightInd w:val="0"/>
        <w:ind w:left="720"/>
        <w:rPr>
          <w:rFonts w:ascii="Cambria" w:hAnsi="Cambria"/>
          <w:lang w:val="en-US"/>
        </w:rPr>
      </w:pPr>
      <w:r>
        <w:rPr>
          <w:rFonts w:ascii="Cambria" w:hAnsi="Cambria" w:cs="Arial"/>
          <w:i/>
          <w:szCs w:val="24"/>
          <w:lang w:val="en-US"/>
        </w:rPr>
        <w:t xml:space="preserve">”The F-diagram which follows shows the different routes that the microbes of </w:t>
      </w:r>
      <w:proofErr w:type="spellStart"/>
      <w:r>
        <w:rPr>
          <w:rFonts w:ascii="Cambria" w:hAnsi="Cambria" w:cs="Arial"/>
          <w:i/>
          <w:szCs w:val="24"/>
          <w:lang w:val="en-US"/>
        </w:rPr>
        <w:t>diarrhoea</w:t>
      </w:r>
      <w:proofErr w:type="spellEnd"/>
      <w:r>
        <w:rPr>
          <w:rFonts w:ascii="Cambria" w:hAnsi="Cambria" w:cs="Arial"/>
          <w:i/>
          <w:szCs w:val="24"/>
          <w:lang w:val="en-US"/>
        </w:rPr>
        <w:t xml:space="preserve"> take from </w:t>
      </w:r>
      <w:proofErr w:type="spellStart"/>
      <w:r>
        <w:rPr>
          <w:rFonts w:ascii="Cambria" w:hAnsi="Cambria" w:cs="Arial"/>
          <w:i/>
          <w:szCs w:val="24"/>
          <w:lang w:val="en-US"/>
        </w:rPr>
        <w:t>faeces</w:t>
      </w:r>
      <w:proofErr w:type="spellEnd"/>
      <w:r>
        <w:rPr>
          <w:rFonts w:ascii="Cambria" w:hAnsi="Cambria" w:cs="Arial"/>
          <w:i/>
          <w:szCs w:val="24"/>
          <w:lang w:val="en-US"/>
        </w:rPr>
        <w:t xml:space="preserve">, through the environment, to a new person. For example; microbes in </w:t>
      </w:r>
      <w:proofErr w:type="spellStart"/>
      <w:r>
        <w:rPr>
          <w:rFonts w:ascii="Cambria" w:hAnsi="Cambria" w:cs="Arial"/>
          <w:i/>
          <w:szCs w:val="24"/>
          <w:lang w:val="en-US"/>
        </w:rPr>
        <w:t>faeces</w:t>
      </w:r>
      <w:proofErr w:type="spellEnd"/>
      <w:r>
        <w:rPr>
          <w:rFonts w:ascii="Cambria" w:hAnsi="Cambria" w:cs="Arial"/>
          <w:i/>
          <w:szCs w:val="24"/>
          <w:lang w:val="en-US"/>
        </w:rPr>
        <w:t xml:space="preserve"> on the ground by a well can get into the water (fluids) and be drunk by a child, hands that have not been washed after going to the toilet can carry microbes onto foods, which are then eaten, infecting another child, who gets diarrhea </w:t>
      </w:r>
      <w:r>
        <w:rPr>
          <w:rFonts w:ascii="Cambria" w:hAnsi="Cambria" w:cs="Arial"/>
          <w:bCs/>
          <w:i/>
          <w:szCs w:val="24"/>
          <w:lang w:val="en-US"/>
        </w:rPr>
        <w:t>and spreads more microbes ... “</w:t>
      </w:r>
      <w:r>
        <w:rPr>
          <w:rFonts w:ascii="Cambria" w:hAnsi="Cambria"/>
          <w:lang w:val="en-US"/>
        </w:rPr>
        <w:t xml:space="preserve"> </w:t>
      </w:r>
    </w:p>
    <w:p w:rsidR="000A66D7" w:rsidRDefault="000A66D7">
      <w:pPr>
        <w:autoSpaceDE w:val="0"/>
        <w:autoSpaceDN w:val="0"/>
        <w:adjustRightInd w:val="0"/>
        <w:ind w:left="720"/>
        <w:rPr>
          <w:rFonts w:ascii="Cambria" w:hAnsi="Cambria"/>
          <w:bCs/>
          <w:lang w:val="en-US"/>
        </w:rPr>
      </w:pPr>
      <w:proofErr w:type="gramStart"/>
      <w:r>
        <w:rPr>
          <w:rFonts w:ascii="Cambria" w:hAnsi="Cambria"/>
          <w:bCs/>
          <w:lang w:val="en-US"/>
        </w:rPr>
        <w:t>[UNICEF.</w:t>
      </w:r>
      <w:proofErr w:type="gramEnd"/>
      <w:r>
        <w:rPr>
          <w:rFonts w:ascii="Cambria" w:hAnsi="Cambria"/>
          <w:bCs/>
          <w:lang w:val="en-US"/>
        </w:rPr>
        <w:t xml:space="preserve"> (1999). </w:t>
      </w:r>
      <w:r>
        <w:rPr>
          <w:rFonts w:ascii="Cambria" w:hAnsi="Cambria"/>
          <w:bCs/>
          <w:i/>
          <w:iCs/>
          <w:lang w:val="en-US"/>
        </w:rPr>
        <w:t xml:space="preserve">Water, Environment and Sanitation Technical Guidelines Series No. 6: </w:t>
      </w:r>
      <w:r>
        <w:rPr>
          <w:rFonts w:ascii="Cambria" w:hAnsi="Cambria"/>
          <w:bCs/>
          <w:i/>
          <w:iCs/>
          <w:szCs w:val="36"/>
          <w:lang w:val="en-US"/>
        </w:rPr>
        <w:t>A Manual on Hygiene Promotion</w:t>
      </w:r>
      <w:r>
        <w:rPr>
          <w:rFonts w:ascii="Cambria" w:hAnsi="Cambria"/>
          <w:bCs/>
          <w:lang w:val="en-US"/>
        </w:rPr>
        <w:t xml:space="preserve">. </w:t>
      </w:r>
      <w:r>
        <w:rPr>
          <w:rFonts w:ascii="Cambria" w:hAnsi="Cambria"/>
          <w:bCs/>
          <w:i/>
          <w:iCs/>
          <w:lang w:val="en-US"/>
        </w:rPr>
        <w:t xml:space="preserve">Document No. </w:t>
      </w:r>
      <w:proofErr w:type="gramStart"/>
      <w:r>
        <w:rPr>
          <w:rFonts w:ascii="Cambria" w:hAnsi="Cambria"/>
          <w:bCs/>
          <w:i/>
          <w:iCs/>
          <w:lang w:val="en-US"/>
        </w:rPr>
        <w:t>UNICEF/PD/WES/99-02.</w:t>
      </w:r>
      <w:proofErr w:type="gramEnd"/>
      <w:r>
        <w:rPr>
          <w:rFonts w:ascii="Cambria" w:hAnsi="Cambria"/>
          <w:bCs/>
          <w:lang w:val="en-US"/>
        </w:rPr>
        <w:t xml:space="preserve"> New York: UNICEF. [Online], Available: </w:t>
      </w:r>
      <w:hyperlink r:id="rId23" w:history="1">
        <w:r>
          <w:rPr>
            <w:rStyle w:val="Hyperlink"/>
            <w:rFonts w:ascii="Cambria" w:hAnsi="Cambria"/>
            <w:bCs/>
            <w:lang w:val="en-US"/>
          </w:rPr>
          <w:t>http://www.unicef.org/wash/files/com_e.pdf</w:t>
        </w:r>
      </w:hyperlink>
      <w:r>
        <w:rPr>
          <w:rFonts w:ascii="Cambria" w:hAnsi="Cambria"/>
          <w:bCs/>
          <w:lang w:val="en-US"/>
        </w:rPr>
        <w:t xml:space="preserve"> [Downloaded: 27.7.12].</w:t>
      </w:r>
    </w:p>
    <w:p w:rsidR="000A66D7" w:rsidRDefault="000A66D7">
      <w:pPr>
        <w:rPr>
          <w:lang w:val="en-US"/>
        </w:rPr>
      </w:pPr>
    </w:p>
    <w:p w:rsidR="000A66D7" w:rsidRDefault="000A66D7">
      <w:pPr>
        <w:spacing w:after="120"/>
        <w:rPr>
          <w:sz w:val="20"/>
          <w:lang w:val="en-US"/>
        </w:rPr>
      </w:pPr>
      <w:r>
        <w:rPr>
          <w:sz w:val="20"/>
        </w:rPr>
        <w:br w:type="page"/>
      </w:r>
    </w:p>
    <w:p w:rsidR="000A66D7" w:rsidRDefault="007A2E92">
      <w:pPr>
        <w:pStyle w:val="Heading4"/>
        <w:spacing w:before="0" w:after="0"/>
      </w:pPr>
      <w:r>
        <w:rPr>
          <w:rFonts w:ascii="Cambria" w:hAnsi="Cambria"/>
          <w:noProof/>
          <w:lang w:val="en-US" w:eastAsia="zh-TW"/>
        </w:rPr>
        <w:lastRenderedPageBreak/>
        <w:pict>
          <v:shape id="_x0000_s1128" type="#_x0000_t202" style="position:absolute;margin-left:318.6pt;margin-top:99.8pt;width:155.4pt;height:103.2pt;z-index:251659264;mso-width-relative:margin;mso-height-relative:margin" fillcolor="#dbe5f1">
            <v:textbox>
              <w:txbxContent>
                <w:p w:rsidR="000A66D7" w:rsidRDefault="000A66D7">
                  <w:pPr>
                    <w:shd w:val="clear" w:color="auto" w:fill="DBE5F1"/>
                    <w:rPr>
                      <w:sz w:val="20"/>
                    </w:rPr>
                  </w:pPr>
                  <w:r>
                    <w:rPr>
                      <w:sz w:val="20"/>
                    </w:rPr>
                    <w:t xml:space="preserve">The F diagram could also be a useful teaching tool in communities where there is a poor understanding of the transmission routes of </w:t>
                  </w:r>
                  <w:proofErr w:type="spellStart"/>
                  <w:r>
                    <w:rPr>
                      <w:sz w:val="20"/>
                    </w:rPr>
                    <w:t>diarrhea</w:t>
                  </w:r>
                  <w:proofErr w:type="spellEnd"/>
                  <w:r>
                    <w:rPr>
                      <w:sz w:val="20"/>
                    </w:rPr>
                    <w:t>. Language would need to be modified.</w:t>
                  </w:r>
                </w:p>
              </w:txbxContent>
            </v:textbox>
          </v:shape>
        </w:pict>
      </w:r>
      <w:r w:rsidR="002F7B5D">
        <w:rPr>
          <w:b w:val="0"/>
          <w:bCs w:val="0"/>
          <w:noProof/>
          <w:lang w:val="en-ZA" w:eastAsia="en-ZA"/>
        </w:rPr>
        <w:drawing>
          <wp:inline distT="0" distB="0" distL="0" distR="0">
            <wp:extent cx="3927475" cy="2637790"/>
            <wp:effectExtent l="19050" t="19050" r="1587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927475" cy="2637790"/>
                    </a:xfrm>
                    <a:prstGeom prst="rect">
                      <a:avLst/>
                    </a:prstGeom>
                    <a:noFill/>
                    <a:ln w="6350" cmpd="sng">
                      <a:solidFill>
                        <a:srgbClr val="000000"/>
                      </a:solidFill>
                      <a:miter lim="800000"/>
                      <a:headEnd/>
                      <a:tailEnd/>
                    </a:ln>
                    <a:effectLst/>
                  </pic:spPr>
                </pic:pic>
              </a:graphicData>
            </a:graphic>
          </wp:inline>
        </w:drawing>
      </w:r>
    </w:p>
    <w:p w:rsidR="00360B07" w:rsidRPr="00360B07" w:rsidRDefault="00360B07" w:rsidP="00360B07">
      <w:pPr>
        <w:spacing w:after="120"/>
        <w:rPr>
          <w:sz w:val="20"/>
          <w:lang w:val="en-US"/>
        </w:rPr>
      </w:pPr>
      <w:r w:rsidRPr="00360B07">
        <w:rPr>
          <w:sz w:val="20"/>
        </w:rPr>
        <w:t xml:space="preserve">Figure 1: The F diagram developed by Wagner and </w:t>
      </w:r>
      <w:proofErr w:type="spellStart"/>
      <w:r w:rsidRPr="00360B07">
        <w:rPr>
          <w:sz w:val="20"/>
        </w:rPr>
        <w:t>Laniox</w:t>
      </w:r>
      <w:proofErr w:type="spellEnd"/>
      <w:r w:rsidRPr="00360B07">
        <w:rPr>
          <w:sz w:val="20"/>
          <w:szCs w:val="18"/>
        </w:rPr>
        <w:t xml:space="preserve"> (1958) [UNICEF, 1999: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1372"/>
        <w:gridCol w:w="1372"/>
        <w:gridCol w:w="1373"/>
        <w:gridCol w:w="1372"/>
        <w:gridCol w:w="1372"/>
        <w:gridCol w:w="1373"/>
      </w:tblGrid>
      <w:tr w:rsidR="000A66D7">
        <w:tc>
          <w:tcPr>
            <w:tcW w:w="1372" w:type="dxa"/>
            <w:shd w:val="clear" w:color="auto" w:fill="DBE5F1"/>
          </w:tcPr>
          <w:p w:rsidR="000A66D7" w:rsidRDefault="000A66D7">
            <w:pPr>
              <w:rPr>
                <w:b/>
                <w:bCs/>
              </w:rPr>
            </w:pPr>
            <w:r>
              <w:rPr>
                <w:b/>
                <w:bCs/>
              </w:rPr>
              <w:t xml:space="preserve">Why do these factors prevail at </w:t>
            </w:r>
            <w:proofErr w:type="spellStart"/>
            <w:r>
              <w:rPr>
                <w:b/>
                <w:bCs/>
              </w:rPr>
              <w:t>Kavu</w:t>
            </w:r>
            <w:proofErr w:type="spellEnd"/>
            <w:r>
              <w:rPr>
                <w:b/>
                <w:bCs/>
              </w:rPr>
              <w:t xml:space="preserve">? </w:t>
            </w:r>
          </w:p>
        </w:tc>
        <w:tc>
          <w:tcPr>
            <w:tcW w:w="1372" w:type="dxa"/>
            <w:shd w:val="clear" w:color="auto" w:fill="DBE5F1"/>
          </w:tcPr>
          <w:p w:rsidR="000A66D7" w:rsidRDefault="000A66D7">
            <w:pPr>
              <w:rPr>
                <w:b/>
                <w:bCs/>
              </w:rPr>
            </w:pPr>
            <w:r>
              <w:rPr>
                <w:b/>
                <w:bCs/>
              </w:rPr>
              <w:t>Faeces</w:t>
            </w:r>
          </w:p>
        </w:tc>
        <w:tc>
          <w:tcPr>
            <w:tcW w:w="1372" w:type="dxa"/>
            <w:shd w:val="clear" w:color="auto" w:fill="DBE5F1"/>
          </w:tcPr>
          <w:p w:rsidR="000A66D7" w:rsidRDefault="000A66D7">
            <w:pPr>
              <w:rPr>
                <w:b/>
                <w:bCs/>
              </w:rPr>
            </w:pPr>
            <w:r>
              <w:rPr>
                <w:b/>
                <w:bCs/>
              </w:rPr>
              <w:t>Fluids, e.g. faeces, sputum, vomit, etc</w:t>
            </w:r>
          </w:p>
        </w:tc>
        <w:tc>
          <w:tcPr>
            <w:tcW w:w="1373" w:type="dxa"/>
            <w:shd w:val="clear" w:color="auto" w:fill="DBE5F1"/>
          </w:tcPr>
          <w:p w:rsidR="000A66D7" w:rsidRDefault="000A66D7">
            <w:pPr>
              <w:rPr>
                <w:b/>
                <w:bCs/>
              </w:rPr>
            </w:pPr>
            <w:r>
              <w:rPr>
                <w:b/>
                <w:bCs/>
              </w:rPr>
              <w:t>Fields</w:t>
            </w:r>
          </w:p>
        </w:tc>
        <w:tc>
          <w:tcPr>
            <w:tcW w:w="1372" w:type="dxa"/>
            <w:shd w:val="clear" w:color="auto" w:fill="DBE5F1"/>
          </w:tcPr>
          <w:p w:rsidR="000A66D7" w:rsidRDefault="000A66D7">
            <w:pPr>
              <w:rPr>
                <w:b/>
                <w:bCs/>
              </w:rPr>
            </w:pPr>
            <w:r>
              <w:rPr>
                <w:b/>
                <w:bCs/>
              </w:rPr>
              <w:t>Flies</w:t>
            </w:r>
          </w:p>
        </w:tc>
        <w:tc>
          <w:tcPr>
            <w:tcW w:w="1372" w:type="dxa"/>
            <w:shd w:val="clear" w:color="auto" w:fill="DBE5F1"/>
          </w:tcPr>
          <w:p w:rsidR="000A66D7" w:rsidRDefault="000A66D7">
            <w:pPr>
              <w:rPr>
                <w:b/>
                <w:bCs/>
              </w:rPr>
            </w:pPr>
            <w:r>
              <w:rPr>
                <w:b/>
                <w:bCs/>
              </w:rPr>
              <w:t>Fingers</w:t>
            </w:r>
          </w:p>
        </w:tc>
        <w:tc>
          <w:tcPr>
            <w:tcW w:w="1373" w:type="dxa"/>
            <w:shd w:val="clear" w:color="auto" w:fill="DBE5F1"/>
          </w:tcPr>
          <w:p w:rsidR="000A66D7" w:rsidRDefault="000A66D7">
            <w:pPr>
              <w:rPr>
                <w:b/>
                <w:bCs/>
              </w:rPr>
            </w:pPr>
            <w:r>
              <w:rPr>
                <w:b/>
                <w:bCs/>
              </w:rPr>
              <w:t>Foods</w:t>
            </w:r>
          </w:p>
        </w:tc>
      </w:tr>
      <w:tr w:rsidR="000A66D7">
        <w:tc>
          <w:tcPr>
            <w:tcW w:w="1372" w:type="dxa"/>
            <w:shd w:val="clear" w:color="auto" w:fill="DBE5F1"/>
          </w:tcPr>
          <w:p w:rsidR="000A66D7" w:rsidRDefault="000A66D7">
            <w:pPr>
              <w:pStyle w:val="Heading4"/>
              <w:spacing w:before="0" w:after="0"/>
            </w:pPr>
            <w:proofErr w:type="gramStart"/>
            <w:r>
              <w:t>But why?</w:t>
            </w:r>
            <w:proofErr w:type="gramEnd"/>
          </w:p>
        </w:tc>
        <w:tc>
          <w:tcPr>
            <w:tcW w:w="1372" w:type="dxa"/>
          </w:tcPr>
          <w:p w:rsidR="000A66D7" w:rsidRDefault="000A66D7">
            <w:pPr>
              <w:rPr>
                <w:sz w:val="18"/>
                <w:szCs w:val="18"/>
              </w:rPr>
            </w:pPr>
            <w:r>
              <w:rPr>
                <w:sz w:val="18"/>
                <w:szCs w:val="18"/>
              </w:rPr>
              <w:t>Lack of toilets or hygienic disposal mechanisms for nappies</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r w:rsidR="000A66D7">
        <w:tc>
          <w:tcPr>
            <w:tcW w:w="1372" w:type="dxa"/>
            <w:shd w:val="clear" w:color="auto" w:fill="DBE5F1"/>
          </w:tcPr>
          <w:p w:rsidR="000A66D7" w:rsidRDefault="000A66D7">
            <w:pPr>
              <w:rPr>
                <w:b/>
                <w:bCs/>
              </w:rPr>
            </w:pPr>
            <w:r>
              <w:rPr>
                <w:b/>
                <w:bCs/>
              </w:rPr>
              <w:t>But why?</w:t>
            </w:r>
          </w:p>
        </w:tc>
        <w:tc>
          <w:tcPr>
            <w:tcW w:w="1372" w:type="dxa"/>
          </w:tcPr>
          <w:p w:rsidR="000A66D7" w:rsidRDefault="000A66D7">
            <w:pPr>
              <w:rPr>
                <w:sz w:val="18"/>
                <w:szCs w:val="18"/>
              </w:rPr>
            </w:pPr>
            <w:r>
              <w:rPr>
                <w:sz w:val="18"/>
                <w:szCs w:val="18"/>
              </w:rPr>
              <w:t>Lack of services</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r w:rsidR="000A66D7">
        <w:tc>
          <w:tcPr>
            <w:tcW w:w="1372" w:type="dxa"/>
            <w:shd w:val="clear" w:color="auto" w:fill="DBE5F1"/>
          </w:tcPr>
          <w:p w:rsidR="000A66D7" w:rsidRDefault="000A66D7">
            <w:pPr>
              <w:rPr>
                <w:b/>
                <w:bCs/>
              </w:rPr>
            </w:pPr>
            <w:r>
              <w:rPr>
                <w:b/>
                <w:bCs/>
              </w:rPr>
              <w:t>But why?</w:t>
            </w:r>
          </w:p>
        </w:tc>
        <w:tc>
          <w:tcPr>
            <w:tcW w:w="1372" w:type="dxa"/>
          </w:tcPr>
          <w:p w:rsidR="000A66D7" w:rsidRDefault="000A66D7">
            <w:pPr>
              <w:rPr>
                <w:sz w:val="18"/>
                <w:szCs w:val="18"/>
              </w:rPr>
            </w:pPr>
            <w:r>
              <w:rPr>
                <w:sz w:val="18"/>
                <w:szCs w:val="18"/>
              </w:rPr>
              <w:t>Lack of infrastructure and no rates tax base</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r w:rsidR="000A66D7">
        <w:tc>
          <w:tcPr>
            <w:tcW w:w="1372" w:type="dxa"/>
            <w:shd w:val="clear" w:color="auto" w:fill="DBE5F1"/>
          </w:tcPr>
          <w:p w:rsidR="000A66D7" w:rsidRDefault="000A66D7">
            <w:pPr>
              <w:rPr>
                <w:b/>
                <w:bCs/>
              </w:rPr>
            </w:pPr>
            <w:r>
              <w:rPr>
                <w:b/>
                <w:bCs/>
              </w:rPr>
              <w:t>But why?</w:t>
            </w:r>
          </w:p>
        </w:tc>
        <w:tc>
          <w:tcPr>
            <w:tcW w:w="1372" w:type="dxa"/>
          </w:tcPr>
          <w:p w:rsidR="000A66D7" w:rsidRDefault="000A66D7">
            <w:pPr>
              <w:rPr>
                <w:sz w:val="18"/>
                <w:szCs w:val="18"/>
              </w:rPr>
            </w:pPr>
            <w:r>
              <w:rPr>
                <w:sz w:val="18"/>
                <w:szCs w:val="18"/>
              </w:rPr>
              <w:t>Recent development (poor infrastructure) and population very poor (No rates base)</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r w:rsidR="000A66D7">
        <w:tc>
          <w:tcPr>
            <w:tcW w:w="1372" w:type="dxa"/>
            <w:shd w:val="clear" w:color="auto" w:fill="DBE5F1"/>
          </w:tcPr>
          <w:p w:rsidR="000A66D7" w:rsidRDefault="000A66D7">
            <w:pPr>
              <w:rPr>
                <w:b/>
                <w:bCs/>
              </w:rPr>
            </w:pPr>
            <w:r>
              <w:rPr>
                <w:b/>
                <w:bCs/>
              </w:rPr>
              <w:t>But why?</w:t>
            </w:r>
          </w:p>
        </w:tc>
        <w:tc>
          <w:tcPr>
            <w:tcW w:w="1372" w:type="dxa"/>
          </w:tcPr>
          <w:p w:rsidR="000A66D7" w:rsidRDefault="000A66D7">
            <w:pPr>
              <w:rPr>
                <w:sz w:val="18"/>
                <w:szCs w:val="18"/>
              </w:rPr>
            </w:pPr>
            <w:r>
              <w:rPr>
                <w:sz w:val="18"/>
                <w:szCs w:val="18"/>
              </w:rPr>
              <w:t>Population very poor</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r w:rsidR="000A66D7">
        <w:tc>
          <w:tcPr>
            <w:tcW w:w="1372" w:type="dxa"/>
            <w:shd w:val="clear" w:color="auto" w:fill="DBE5F1"/>
          </w:tcPr>
          <w:p w:rsidR="000A66D7" w:rsidRDefault="000A66D7">
            <w:pPr>
              <w:rPr>
                <w:b/>
                <w:bCs/>
              </w:rPr>
            </w:pPr>
            <w:r>
              <w:rPr>
                <w:b/>
                <w:bCs/>
              </w:rPr>
              <w:t>But why?</w:t>
            </w:r>
          </w:p>
        </w:tc>
        <w:tc>
          <w:tcPr>
            <w:tcW w:w="1372" w:type="dxa"/>
          </w:tcPr>
          <w:p w:rsidR="000A66D7" w:rsidRDefault="000A66D7">
            <w:pPr>
              <w:rPr>
                <w:sz w:val="18"/>
                <w:szCs w:val="18"/>
              </w:rPr>
            </w:pPr>
            <w:r>
              <w:rPr>
                <w:sz w:val="18"/>
                <w:szCs w:val="18"/>
              </w:rPr>
              <w:t>Urban drift, lack of education, lack of economic activity</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r w:rsidR="000A66D7">
        <w:tc>
          <w:tcPr>
            <w:tcW w:w="1372" w:type="dxa"/>
            <w:shd w:val="clear" w:color="auto" w:fill="DBE5F1"/>
          </w:tcPr>
          <w:p w:rsidR="000A66D7" w:rsidRDefault="000A66D7">
            <w:pPr>
              <w:rPr>
                <w:b/>
                <w:bCs/>
              </w:rPr>
            </w:pPr>
            <w:r>
              <w:rPr>
                <w:b/>
                <w:bCs/>
              </w:rPr>
              <w:t>But why?</w:t>
            </w:r>
          </w:p>
        </w:tc>
        <w:tc>
          <w:tcPr>
            <w:tcW w:w="1372" w:type="dxa"/>
          </w:tcPr>
          <w:p w:rsidR="000A66D7" w:rsidRDefault="000A66D7">
            <w:pPr>
              <w:rPr>
                <w:sz w:val="18"/>
                <w:szCs w:val="18"/>
              </w:rPr>
            </w:pPr>
            <w:r>
              <w:rPr>
                <w:sz w:val="18"/>
                <w:szCs w:val="18"/>
              </w:rPr>
              <w:t>Historical discriminatory political factors; poor social development policies</w:t>
            </w:r>
          </w:p>
        </w:tc>
        <w:tc>
          <w:tcPr>
            <w:tcW w:w="1372" w:type="dxa"/>
          </w:tcPr>
          <w:p w:rsidR="000A66D7" w:rsidRDefault="000A66D7"/>
        </w:tc>
        <w:tc>
          <w:tcPr>
            <w:tcW w:w="1373" w:type="dxa"/>
          </w:tcPr>
          <w:p w:rsidR="000A66D7" w:rsidRDefault="000A66D7"/>
        </w:tc>
        <w:tc>
          <w:tcPr>
            <w:tcW w:w="1372" w:type="dxa"/>
          </w:tcPr>
          <w:p w:rsidR="000A66D7" w:rsidRDefault="000A66D7"/>
        </w:tc>
        <w:tc>
          <w:tcPr>
            <w:tcW w:w="1372" w:type="dxa"/>
          </w:tcPr>
          <w:p w:rsidR="000A66D7" w:rsidRDefault="000A66D7"/>
        </w:tc>
        <w:tc>
          <w:tcPr>
            <w:tcW w:w="1373" w:type="dxa"/>
          </w:tcPr>
          <w:p w:rsidR="000A66D7" w:rsidRDefault="000A66D7"/>
        </w:tc>
      </w:tr>
    </w:tbl>
    <w:p w:rsidR="000A66D7" w:rsidRDefault="000A66D7"/>
    <w:p w:rsidR="002A5010" w:rsidRDefault="000A66D7" w:rsidP="00954E0E">
      <w:pPr>
        <w:spacing w:after="120"/>
        <w:rPr>
          <w:rFonts w:ascii="Cambria" w:hAnsi="Cambria"/>
          <w:lang w:val="en-US"/>
        </w:rPr>
      </w:pPr>
      <w:r>
        <w:rPr>
          <w:rFonts w:ascii="Cambria" w:hAnsi="Cambria"/>
          <w:lang w:val="en-US"/>
        </w:rPr>
        <w:t xml:space="preserve">Keep your table, as you will be able to use it as the basis of more learning </w:t>
      </w:r>
      <w:r w:rsidR="00954E0E">
        <w:rPr>
          <w:rFonts w:ascii="Cambria" w:hAnsi="Cambria"/>
          <w:lang w:val="en-US"/>
        </w:rPr>
        <w:t>a</w:t>
      </w:r>
      <w:r>
        <w:rPr>
          <w:rFonts w:ascii="Cambria" w:hAnsi="Cambria"/>
          <w:lang w:val="en-US"/>
        </w:rPr>
        <w:t>ctivities in Section 4. In the diagram below, two actions for preventing the F factors are proposed, but these do not necessarily address the deeper level socio-economic and political issues.</w:t>
      </w:r>
      <w:r w:rsidR="00954E0E">
        <w:rPr>
          <w:rFonts w:ascii="Cambria" w:hAnsi="Cambria"/>
          <w:lang w:val="en-US"/>
        </w:rPr>
        <w:t xml:space="preserve"> </w:t>
      </w:r>
    </w:p>
    <w:p w:rsidR="00954E0E" w:rsidRDefault="002A5010" w:rsidP="002A5010">
      <w:pPr>
        <w:spacing w:after="120"/>
        <w:rPr>
          <w:rFonts w:ascii="Trebuchet MS" w:hAnsi="Trebuchet MS"/>
          <w:sz w:val="20"/>
        </w:rPr>
      </w:pPr>
      <w:r>
        <w:rPr>
          <w:rFonts w:ascii="Cambria" w:hAnsi="Cambria"/>
          <w:lang w:val="en-US"/>
        </w:rPr>
        <w:br w:type="page"/>
      </w:r>
      <w:r w:rsidR="00954E0E">
        <w:rPr>
          <w:rFonts w:ascii="Cambria" w:hAnsi="Cambria"/>
          <w:lang w:val="en-US"/>
        </w:rPr>
        <w:lastRenderedPageBreak/>
        <w:t xml:space="preserve">Another way to understand the causes, in particular those at a deeper level (socio-economic or political) is to </w:t>
      </w:r>
      <w:proofErr w:type="spellStart"/>
      <w:r w:rsidR="00954E0E">
        <w:rPr>
          <w:rFonts w:ascii="Cambria" w:hAnsi="Cambria"/>
          <w:lang w:val="en-US"/>
        </w:rPr>
        <w:t>analyse</w:t>
      </w:r>
      <w:proofErr w:type="spellEnd"/>
      <w:r w:rsidR="00954E0E">
        <w:rPr>
          <w:rFonts w:ascii="Cambria" w:hAnsi="Cambria"/>
          <w:lang w:val="en-US"/>
        </w:rPr>
        <w:t xml:space="preserve"> the causes of diarrhea using the UNICEF Conceptual Framework [</w:t>
      </w:r>
      <w:r w:rsidR="00954E0E">
        <w:rPr>
          <w:rFonts w:ascii="Trebuchet MS" w:hAnsi="Trebuchet MS"/>
          <w:sz w:val="18"/>
          <w:lang w:val="en-US"/>
        </w:rPr>
        <w:t xml:space="preserve">UNICEF. </w:t>
      </w:r>
      <w:proofErr w:type="gramStart"/>
      <w:r w:rsidR="00954E0E">
        <w:rPr>
          <w:rFonts w:ascii="Trebuchet MS" w:hAnsi="Trebuchet MS"/>
          <w:sz w:val="18"/>
          <w:lang w:val="en-US"/>
        </w:rPr>
        <w:t xml:space="preserve">(1990). </w:t>
      </w:r>
      <w:r w:rsidR="00954E0E">
        <w:rPr>
          <w:rFonts w:ascii="Trebuchet MS" w:hAnsi="Trebuchet MS"/>
          <w:i/>
          <w:iCs/>
          <w:sz w:val="18"/>
          <w:lang w:val="en-US"/>
        </w:rPr>
        <w:t>Strategy for Improved Nutrition</w:t>
      </w:r>
      <w:r>
        <w:rPr>
          <w:rFonts w:ascii="Trebuchet MS" w:hAnsi="Trebuchet MS"/>
          <w:i/>
          <w:iCs/>
          <w:sz w:val="18"/>
          <w:lang w:val="en-US"/>
        </w:rPr>
        <w:t xml:space="preserve"> </w:t>
      </w:r>
      <w:r w:rsidR="00954E0E">
        <w:rPr>
          <w:rFonts w:ascii="Trebuchet MS" w:hAnsi="Trebuchet MS"/>
          <w:i/>
          <w:iCs/>
          <w:sz w:val="18"/>
          <w:lang w:val="en-US"/>
        </w:rPr>
        <w:t>of Children and Women in Developing Countries.</w:t>
      </w:r>
      <w:proofErr w:type="gramEnd"/>
      <w:r w:rsidR="00954E0E">
        <w:rPr>
          <w:rFonts w:ascii="Trebuchet MS" w:hAnsi="Trebuchet MS"/>
          <w:sz w:val="18"/>
          <w:lang w:val="en-US"/>
        </w:rPr>
        <w:t xml:space="preserve"> [Online], Available: </w:t>
      </w:r>
      <w:r w:rsidR="00954E0E">
        <w:rPr>
          <w:rFonts w:ascii="Trebuchet MS" w:hAnsi="Trebuchet MS"/>
          <w:sz w:val="18"/>
        </w:rPr>
        <w:t xml:space="preserve"> </w:t>
      </w:r>
      <w:hyperlink r:id="rId25" w:history="1">
        <w:r w:rsidR="00954E0E">
          <w:rPr>
            <w:rStyle w:val="Hyperlink"/>
            <w:rFonts w:ascii="Trebuchet MS" w:hAnsi="Trebuchet MS"/>
            <w:sz w:val="18"/>
          </w:rPr>
          <w:t>http://www.ceecis.org/iodine/01_global/01_pl/01_01_other_1992_unicef.pdf</w:t>
        </w:r>
      </w:hyperlink>
      <w:r w:rsidR="00954E0E">
        <w:rPr>
          <w:rFonts w:ascii="Trebuchet MS" w:hAnsi="Trebuchet MS"/>
          <w:sz w:val="18"/>
        </w:rPr>
        <w:t xml:space="preserve">  Downloaded: 20.7.12].</w:t>
      </w:r>
    </w:p>
    <w:p w:rsidR="000A66D7" w:rsidRDefault="000A66D7" w:rsidP="00954E0E">
      <w:pPr>
        <w:spacing w:after="120"/>
        <w:rPr>
          <w:rFonts w:ascii="Cambria" w:hAnsi="Cambria"/>
          <w:lang w:val="en-US"/>
        </w:rPr>
      </w:pPr>
    </w:p>
    <w:p w:rsidR="00954E0E" w:rsidRDefault="00954E0E" w:rsidP="00954E0E">
      <w:pPr>
        <w:spacing w:after="120"/>
        <w:rPr>
          <w:rFonts w:ascii="Cambria" w:hAnsi="Cambria"/>
          <w:lang w:val="en-US"/>
        </w:rPr>
      </w:pPr>
    </w:p>
    <w:p w:rsidR="000A66D7" w:rsidRDefault="000A66D7">
      <w:pPr>
        <w:pStyle w:val="NormalWeb"/>
        <w:spacing w:before="0" w:beforeAutospacing="0" w:after="0" w:afterAutospacing="0"/>
      </w:pPr>
    </w:p>
    <w:p w:rsidR="000A66D7" w:rsidRDefault="002F7B5D">
      <w:r>
        <w:rPr>
          <w:noProof/>
          <w:lang w:val="en-ZA" w:eastAsia="en-ZA"/>
        </w:rPr>
        <w:drawing>
          <wp:inline distT="0" distB="0" distL="0" distR="0">
            <wp:extent cx="4572000" cy="3048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360B07" w:rsidRDefault="00360B07" w:rsidP="00360B07">
      <w:pPr>
        <w:spacing w:after="120"/>
        <w:rPr>
          <w:sz w:val="20"/>
          <w:lang w:val="en-US"/>
        </w:rPr>
      </w:pPr>
      <w:r>
        <w:rPr>
          <w:sz w:val="20"/>
        </w:rPr>
        <w:t>Figure 2: Addressing the F factors</w:t>
      </w:r>
      <w:r>
        <w:rPr>
          <w:rFonts w:ascii="Arial" w:hAnsi="Arial" w:cs="Arial"/>
          <w:sz w:val="20"/>
          <w:szCs w:val="18"/>
        </w:rPr>
        <w:t xml:space="preserve"> [UNICEF, 1999:35]</w:t>
      </w:r>
    </w:p>
    <w:p w:rsidR="000A66D7" w:rsidRDefault="000A66D7">
      <w:pPr>
        <w:pStyle w:val="NormalWeb"/>
        <w:spacing w:before="0" w:beforeAutospacing="0" w:after="0" w:afterAutospacing="0"/>
        <w:rPr>
          <w:b/>
          <w:bCs/>
          <w:color w:val="000066"/>
          <w:kern w:val="28"/>
          <w:sz w:val="40"/>
          <w:szCs w:val="40"/>
        </w:rPr>
      </w:pPr>
      <w:r>
        <w:br w:type="page"/>
      </w:r>
      <w:r>
        <w:rPr>
          <w:b/>
          <w:bCs/>
          <w:color w:val="000066"/>
          <w:kern w:val="28"/>
          <w:sz w:val="40"/>
          <w:szCs w:val="40"/>
          <w:lang w:val="en-US"/>
        </w:rPr>
        <w:lastRenderedPageBreak/>
        <w:t xml:space="preserve">SECTION </w:t>
      </w:r>
      <w:r>
        <w:rPr>
          <w:b/>
          <w:bCs/>
          <w:color w:val="000066"/>
          <w:kern w:val="28"/>
          <w:sz w:val="72"/>
          <w:szCs w:val="72"/>
          <w:lang w:val="en-US"/>
        </w:rPr>
        <w:t>3</w:t>
      </w:r>
      <w:r>
        <w:rPr>
          <w:b/>
          <w:bCs/>
          <w:color w:val="000066"/>
          <w:kern w:val="28"/>
          <w:sz w:val="40"/>
          <w:szCs w:val="40"/>
          <w:lang w:val="en-US"/>
        </w:rPr>
        <w:t xml:space="preserve"> - </w:t>
      </w:r>
      <w:r>
        <w:rPr>
          <w:b/>
          <w:bCs/>
          <w:color w:val="000066"/>
          <w:kern w:val="28"/>
          <w:sz w:val="40"/>
          <w:szCs w:val="40"/>
        </w:rPr>
        <w:t>Case Context</w:t>
      </w:r>
    </w:p>
    <w:p w:rsidR="000A66D7" w:rsidRDefault="000A66D7">
      <w:pPr>
        <w:pStyle w:val="NoSpacing"/>
        <w:keepNext/>
        <w:outlineLvl w:val="1"/>
        <w:rPr>
          <w:b/>
          <w:bCs/>
          <w:color w:val="000066"/>
          <w:kern w:val="28"/>
          <w:sz w:val="40"/>
          <w:szCs w:val="40"/>
        </w:rPr>
      </w:pPr>
    </w:p>
    <w:p w:rsidR="000A66D7" w:rsidRDefault="000A66D7">
      <w:pPr>
        <w:pStyle w:val="TOCHeading"/>
      </w:pPr>
      <w:r>
        <w:object w:dxaOrig="15360"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274.6pt" o:ole="">
            <v:imagedata r:id="rId27" o:title=""/>
          </v:shape>
          <o:OLEObject Type="Embed" ProgID="PBrush" ShapeID="_x0000_i1025" DrawAspect="Content" ObjectID="_1406526339" r:id="rId28"/>
        </w:object>
      </w:r>
    </w:p>
    <w:p w:rsidR="000A66D7" w:rsidRDefault="000A66D7">
      <w:pPr>
        <w:pStyle w:val="Revision"/>
        <w:spacing w:before="120"/>
        <w:rPr>
          <w:sz w:val="18"/>
          <w:szCs w:val="24"/>
        </w:rPr>
      </w:pPr>
      <w:r>
        <w:rPr>
          <w:sz w:val="18"/>
          <w:szCs w:val="24"/>
        </w:rPr>
        <w:t xml:space="preserve">Photo 1: The </w:t>
      </w:r>
      <w:proofErr w:type="spellStart"/>
      <w:r>
        <w:rPr>
          <w:sz w:val="18"/>
          <w:szCs w:val="24"/>
        </w:rPr>
        <w:t>Kavu</w:t>
      </w:r>
      <w:proofErr w:type="spellEnd"/>
      <w:r>
        <w:rPr>
          <w:sz w:val="18"/>
          <w:szCs w:val="24"/>
        </w:rPr>
        <w:t xml:space="preserve"> </w:t>
      </w:r>
      <w:proofErr w:type="spellStart"/>
      <w:r>
        <w:rPr>
          <w:sz w:val="18"/>
          <w:szCs w:val="24"/>
        </w:rPr>
        <w:t>Mahali</w:t>
      </w:r>
      <w:proofErr w:type="spellEnd"/>
      <w:r>
        <w:rPr>
          <w:sz w:val="18"/>
          <w:szCs w:val="24"/>
        </w:rPr>
        <w:t xml:space="preserve"> informal settlement [SOPH, UWC]</w:t>
      </w:r>
    </w:p>
    <w:p w:rsidR="000A66D7" w:rsidRDefault="000A66D7">
      <w:pPr>
        <w:pStyle w:val="Revision"/>
        <w:rPr>
          <w:szCs w:val="24"/>
        </w:rPr>
      </w:pPr>
    </w:p>
    <w:p w:rsidR="000A66D7" w:rsidRPr="00D52196" w:rsidRDefault="000A66D7">
      <w:pPr>
        <w:pStyle w:val="Revision"/>
        <w:rPr>
          <w:b/>
          <w:bCs/>
          <w:color w:val="002060"/>
          <w:sz w:val="32"/>
          <w:szCs w:val="32"/>
        </w:rPr>
      </w:pPr>
      <w:r w:rsidRPr="00D52196">
        <w:rPr>
          <w:b/>
          <w:bCs/>
          <w:color w:val="002060"/>
          <w:sz w:val="32"/>
          <w:szCs w:val="32"/>
        </w:rPr>
        <w:t>3.1      The environment</w:t>
      </w:r>
    </w:p>
    <w:p w:rsidR="000A66D7" w:rsidRDefault="000A66D7">
      <w:pPr>
        <w:pStyle w:val="Revision"/>
        <w:rPr>
          <w:szCs w:val="24"/>
        </w:rPr>
      </w:pPr>
      <w:r>
        <w:rPr>
          <w:szCs w:val="24"/>
        </w:rPr>
        <w:t xml:space="preserve">This is the informal settlement of </w:t>
      </w:r>
      <w:proofErr w:type="spellStart"/>
      <w:r>
        <w:rPr>
          <w:szCs w:val="24"/>
        </w:rPr>
        <w:t>Kavu</w:t>
      </w:r>
      <w:proofErr w:type="spellEnd"/>
      <w:r>
        <w:rPr>
          <w:szCs w:val="24"/>
        </w:rPr>
        <w:t xml:space="preserve"> </w:t>
      </w:r>
      <w:proofErr w:type="spellStart"/>
      <w:r>
        <w:rPr>
          <w:szCs w:val="24"/>
        </w:rPr>
        <w:t>Mahali</w:t>
      </w:r>
      <w:proofErr w:type="spellEnd"/>
      <w:r>
        <w:rPr>
          <w:szCs w:val="24"/>
        </w:rPr>
        <w:t xml:space="preserve"> (</w:t>
      </w:r>
      <w:r>
        <w:rPr>
          <w:i/>
          <w:iCs/>
          <w:szCs w:val="24"/>
        </w:rPr>
        <w:t>Dry Place</w:t>
      </w:r>
      <w:r>
        <w:rPr>
          <w:szCs w:val="24"/>
        </w:rPr>
        <w:t xml:space="preserve">) which is situated outside </w:t>
      </w:r>
      <w:proofErr w:type="spellStart"/>
      <w:r>
        <w:rPr>
          <w:szCs w:val="24"/>
        </w:rPr>
        <w:t>Tarkavale</w:t>
      </w:r>
      <w:proofErr w:type="spellEnd"/>
      <w:r>
        <w:rPr>
          <w:szCs w:val="24"/>
        </w:rPr>
        <w:t xml:space="preserve">, 60km north of the capital in a country in sub-Saharan Africa. </w:t>
      </w:r>
      <w:proofErr w:type="spellStart"/>
      <w:r>
        <w:rPr>
          <w:szCs w:val="24"/>
        </w:rPr>
        <w:t>Tarkavale</w:t>
      </w:r>
      <w:proofErr w:type="spellEnd"/>
      <w:r>
        <w:rPr>
          <w:szCs w:val="24"/>
        </w:rPr>
        <w:t xml:space="preserve"> is just off the main highway which serves as a passage to the coastal and northern areas of the country. The majority of the population lives in the town, which is surrounded by commercial and communal farms. Its economy is based on serving the needs of the surrounding farming population, and the army which has a training station in </w:t>
      </w:r>
      <w:proofErr w:type="spellStart"/>
      <w:r>
        <w:rPr>
          <w:szCs w:val="24"/>
        </w:rPr>
        <w:t>Tarkavale</w:t>
      </w:r>
      <w:proofErr w:type="spellEnd"/>
      <w:r>
        <w:rPr>
          <w:szCs w:val="24"/>
        </w:rPr>
        <w:t xml:space="preserve">. </w:t>
      </w:r>
    </w:p>
    <w:p w:rsidR="000A66D7" w:rsidRDefault="000A66D7">
      <w:pPr>
        <w:pStyle w:val="Revision"/>
        <w:rPr>
          <w:szCs w:val="24"/>
        </w:rPr>
      </w:pPr>
    </w:p>
    <w:p w:rsidR="000A66D7" w:rsidRDefault="000A66D7">
      <w:pPr>
        <w:pStyle w:val="Revision"/>
        <w:rPr>
          <w:szCs w:val="24"/>
        </w:rPr>
      </w:pPr>
      <w:r>
        <w:rPr>
          <w:szCs w:val="24"/>
        </w:rPr>
        <w:t xml:space="preserve">The informal settlement known as </w:t>
      </w:r>
      <w:proofErr w:type="spellStart"/>
      <w:r>
        <w:rPr>
          <w:i/>
          <w:iCs/>
          <w:szCs w:val="24"/>
        </w:rPr>
        <w:t>Kavu</w:t>
      </w:r>
      <w:proofErr w:type="spellEnd"/>
      <w:r>
        <w:rPr>
          <w:szCs w:val="24"/>
        </w:rPr>
        <w:t xml:space="preserve"> by the residents has developed since 2005 and now has a population of about 3 200 which is still growing as people migrate from farms in search of work or a better life. Settlement took place here because around 2005, a farmer allowed settlement on a strip of his land at the cost of a small deposit. The land area was therefore privately owned until 2007, and only recently formally serviced by the municipality. In the past few years, the municipality has provided broad coverage electric street lights, and scattered communal water pumps. </w:t>
      </w:r>
    </w:p>
    <w:p w:rsidR="000A66D7" w:rsidRDefault="000A66D7">
      <w:pPr>
        <w:pStyle w:val="Revision"/>
        <w:rPr>
          <w:szCs w:val="24"/>
        </w:rPr>
      </w:pPr>
    </w:p>
    <w:p w:rsidR="000A66D7" w:rsidRDefault="000A66D7">
      <w:pPr>
        <w:pStyle w:val="Revision"/>
        <w:rPr>
          <w:szCs w:val="24"/>
        </w:rPr>
      </w:pPr>
      <w:r>
        <w:rPr>
          <w:szCs w:val="24"/>
        </w:rPr>
        <w:t xml:space="preserve">The district has one hospital situated on the far side of </w:t>
      </w:r>
      <w:proofErr w:type="spellStart"/>
      <w:r>
        <w:rPr>
          <w:szCs w:val="24"/>
        </w:rPr>
        <w:t>Tarkavale</w:t>
      </w:r>
      <w:proofErr w:type="spellEnd"/>
      <w:r>
        <w:rPr>
          <w:szCs w:val="24"/>
        </w:rPr>
        <w:t xml:space="preserve">, a walk of 5 kilometres. These facilities cater for a population of 31 706 of which 5 323 are under the age of five years (Census Statistics). Though 97% of the district population have safe (but communal) water sources, 79% have no sanitary facilities (Census Statistics). </w:t>
      </w:r>
      <w:proofErr w:type="spellStart"/>
      <w:r>
        <w:rPr>
          <w:szCs w:val="24"/>
        </w:rPr>
        <w:t>Kavu</w:t>
      </w:r>
      <w:proofErr w:type="spellEnd"/>
      <w:r>
        <w:rPr>
          <w:szCs w:val="24"/>
        </w:rPr>
        <w:t xml:space="preserve"> has no toilets and the dry river bed alongside the settlement is generally used for defecation.</w:t>
      </w:r>
    </w:p>
    <w:p w:rsidR="000A66D7" w:rsidRDefault="000A66D7">
      <w:pPr>
        <w:pStyle w:val="Revision"/>
        <w:rPr>
          <w:szCs w:val="24"/>
        </w:rPr>
      </w:pPr>
    </w:p>
    <w:p w:rsidR="000A66D7" w:rsidRDefault="000A66D7">
      <w:pPr>
        <w:pStyle w:val="Revision"/>
        <w:rPr>
          <w:szCs w:val="24"/>
        </w:rPr>
      </w:pPr>
      <w:r>
        <w:rPr>
          <w:szCs w:val="24"/>
        </w:rPr>
        <w:t xml:space="preserve">Although the residents of the informal settlement have very few sources of income in their environment, there are a number of taverns, mainly used by men of the area, scattered through the residences. </w:t>
      </w:r>
    </w:p>
    <w:p w:rsidR="000A66D7" w:rsidRDefault="000A66D7">
      <w:pPr>
        <w:pStyle w:val="Revision"/>
        <w:rPr>
          <w:szCs w:val="24"/>
        </w:rPr>
      </w:pPr>
    </w:p>
    <w:p w:rsidR="000A66D7" w:rsidRDefault="000A66D7">
      <w:pPr>
        <w:pStyle w:val="Revision"/>
        <w:rPr>
          <w:szCs w:val="24"/>
        </w:rPr>
      </w:pPr>
      <w:r>
        <w:rPr>
          <w:szCs w:val="24"/>
        </w:rPr>
        <w:t xml:space="preserve">Whenever there is a health problem or outbreak of any illness in the area, the urban residents of </w:t>
      </w:r>
      <w:proofErr w:type="spellStart"/>
      <w:r>
        <w:rPr>
          <w:szCs w:val="24"/>
        </w:rPr>
        <w:t>Tarkavale</w:t>
      </w:r>
      <w:proofErr w:type="spellEnd"/>
      <w:r>
        <w:rPr>
          <w:szCs w:val="24"/>
        </w:rPr>
        <w:t xml:space="preserve"> blame </w:t>
      </w:r>
      <w:proofErr w:type="spellStart"/>
      <w:r>
        <w:rPr>
          <w:szCs w:val="24"/>
        </w:rPr>
        <w:t>Kavu</w:t>
      </w:r>
      <w:proofErr w:type="spellEnd"/>
      <w:r>
        <w:rPr>
          <w:szCs w:val="24"/>
        </w:rPr>
        <w:t xml:space="preserve"> as the source of the problem. This has led to stigma being attached to living in </w:t>
      </w:r>
      <w:proofErr w:type="spellStart"/>
      <w:r>
        <w:rPr>
          <w:szCs w:val="24"/>
        </w:rPr>
        <w:t>Kavu</w:t>
      </w:r>
      <w:proofErr w:type="spellEnd"/>
      <w:r>
        <w:rPr>
          <w:szCs w:val="24"/>
        </w:rPr>
        <w:t xml:space="preserve">, which further affect residents’ attempts to find work in </w:t>
      </w:r>
      <w:proofErr w:type="spellStart"/>
      <w:r>
        <w:rPr>
          <w:szCs w:val="24"/>
        </w:rPr>
        <w:t>Tarkavale</w:t>
      </w:r>
      <w:proofErr w:type="spellEnd"/>
      <w:r>
        <w:rPr>
          <w:szCs w:val="24"/>
        </w:rPr>
        <w:t xml:space="preserve">. </w:t>
      </w:r>
    </w:p>
    <w:p w:rsidR="000A66D7" w:rsidRDefault="000A66D7">
      <w:pPr>
        <w:pStyle w:val="Revision"/>
        <w:rPr>
          <w:szCs w:val="24"/>
        </w:rPr>
      </w:pPr>
    </w:p>
    <w:p w:rsidR="000A66D7" w:rsidRDefault="000A66D7">
      <w:pPr>
        <w:pStyle w:val="Revision"/>
        <w:rPr>
          <w:szCs w:val="24"/>
        </w:rPr>
      </w:pPr>
      <w:r>
        <w:rPr>
          <w:szCs w:val="24"/>
        </w:rPr>
        <w:t xml:space="preserve">Within the urban and surrounding areas, there are several informal settlements like </w:t>
      </w:r>
      <w:proofErr w:type="spellStart"/>
      <w:r>
        <w:rPr>
          <w:szCs w:val="24"/>
        </w:rPr>
        <w:t>Kavu</w:t>
      </w:r>
      <w:proofErr w:type="spellEnd"/>
      <w:r>
        <w:rPr>
          <w:szCs w:val="24"/>
        </w:rPr>
        <w:t xml:space="preserve"> served by minimal numbers of communal taps which are metred and can only be used by purchasing and inserting tokens into the metre (seen in Photo 2). Residents then transport the container of water back to their dwellings. There are no sanitation services, and the community is obliged to use the areas surrounding the settlement where children also play. This places a significant number of children at risk of </w:t>
      </w:r>
      <w:proofErr w:type="spellStart"/>
      <w:r>
        <w:rPr>
          <w:szCs w:val="24"/>
        </w:rPr>
        <w:t>diarrhea</w:t>
      </w:r>
      <w:proofErr w:type="spellEnd"/>
      <w:r>
        <w:rPr>
          <w:szCs w:val="24"/>
        </w:rPr>
        <w:t xml:space="preserve"> since they have little access to sanitation</w:t>
      </w:r>
      <w:r w:rsidR="002A5010">
        <w:rPr>
          <w:szCs w:val="24"/>
        </w:rPr>
        <w:t xml:space="preserve"> (see Learning Activity 2 in Section 2 – But why?)</w:t>
      </w:r>
      <w:r>
        <w:rPr>
          <w:szCs w:val="24"/>
        </w:rPr>
        <w:t>.</w:t>
      </w:r>
    </w:p>
    <w:p w:rsidR="000A66D7" w:rsidRDefault="000A66D7">
      <w:pPr>
        <w:pStyle w:val="Revision"/>
        <w:rPr>
          <w:rFonts w:ascii="Arial" w:hAnsi="Arial" w:cs="Arial"/>
          <w:szCs w:val="24"/>
        </w:rPr>
      </w:pPr>
    </w:p>
    <w:p w:rsidR="000A66D7" w:rsidRDefault="000A66D7">
      <w:r>
        <w:object w:dxaOrig="15448" w:dyaOrig="11189">
          <v:shape id="_x0000_i1026" type="#_x0000_t75" style="width:414.4pt;height:283.8pt" o:ole="">
            <v:imagedata r:id="rId29" o:title=""/>
          </v:shape>
          <o:OLEObject Type="Embed" ProgID="PBrush" ShapeID="_x0000_i1026" DrawAspect="Content" ObjectID="_1406526340" r:id="rId30"/>
        </w:object>
      </w:r>
    </w:p>
    <w:p w:rsidR="000A66D7" w:rsidRDefault="000A66D7">
      <w:pPr>
        <w:spacing w:before="120"/>
        <w:rPr>
          <w:rFonts w:ascii="Trebuchet MS" w:hAnsi="Trebuchet MS"/>
          <w:sz w:val="18"/>
        </w:rPr>
      </w:pPr>
      <w:r>
        <w:rPr>
          <w:rFonts w:ascii="Trebuchet MS" w:hAnsi="Trebuchet MS"/>
          <w:sz w:val="18"/>
        </w:rPr>
        <w:t xml:space="preserve">Photo 2: A child drawing water at a communal water tap in an informal settlement in </w:t>
      </w:r>
      <w:proofErr w:type="spellStart"/>
      <w:r>
        <w:rPr>
          <w:rFonts w:ascii="Trebuchet MS" w:hAnsi="Trebuchet MS"/>
          <w:sz w:val="18"/>
        </w:rPr>
        <w:t>Kavu</w:t>
      </w:r>
      <w:proofErr w:type="spellEnd"/>
      <w:r>
        <w:rPr>
          <w:rFonts w:ascii="Trebuchet MS" w:hAnsi="Trebuchet MS"/>
          <w:sz w:val="18"/>
        </w:rPr>
        <w:t>: water is metred and only accessible only with purchased tokens, 2009 [SOPH, UWC]</w:t>
      </w:r>
    </w:p>
    <w:p w:rsidR="000A66D7" w:rsidRDefault="000A66D7">
      <w:pPr>
        <w:rPr>
          <w:rFonts w:ascii="Trebuchet MS" w:hAnsi="Trebuchet MS"/>
        </w:rPr>
      </w:pPr>
    </w:p>
    <w:p w:rsidR="000A66D7" w:rsidRPr="00D52196" w:rsidRDefault="000A66D7">
      <w:pPr>
        <w:rPr>
          <w:b/>
          <w:bCs/>
          <w:iCs/>
          <w:color w:val="002060"/>
          <w:sz w:val="32"/>
          <w:szCs w:val="32"/>
        </w:rPr>
      </w:pPr>
      <w:r w:rsidRPr="00D52196">
        <w:rPr>
          <w:b/>
          <w:bCs/>
          <w:iCs/>
          <w:color w:val="002060"/>
          <w:sz w:val="32"/>
          <w:szCs w:val="32"/>
        </w:rPr>
        <w:t>3.2     A significant health problem</w:t>
      </w:r>
    </w:p>
    <w:p w:rsidR="000A66D7" w:rsidRDefault="000A66D7">
      <w:pPr>
        <w:rPr>
          <w:iCs/>
        </w:rPr>
      </w:pPr>
      <w:proofErr w:type="spellStart"/>
      <w:r>
        <w:rPr>
          <w:iCs/>
        </w:rPr>
        <w:t>Diarrhea</w:t>
      </w:r>
      <w:proofErr w:type="spellEnd"/>
      <w:r>
        <w:rPr>
          <w:iCs/>
        </w:rPr>
        <w:t xml:space="preserve"> or Gastroenteritis (GE) or is the leading cause of death in children under-5 years of age at </w:t>
      </w:r>
      <w:proofErr w:type="spellStart"/>
      <w:r>
        <w:rPr>
          <w:iCs/>
        </w:rPr>
        <w:t>Tarkavale</w:t>
      </w:r>
      <w:proofErr w:type="spellEnd"/>
      <w:r>
        <w:rPr>
          <w:iCs/>
        </w:rPr>
        <w:t xml:space="preserve"> Hospital and is an avoidable cause of death. </w:t>
      </w:r>
      <w:proofErr w:type="spellStart"/>
      <w:r>
        <w:rPr>
          <w:iCs/>
        </w:rPr>
        <w:t>Diarrhea</w:t>
      </w:r>
      <w:proofErr w:type="spellEnd"/>
      <w:r>
        <w:rPr>
          <w:iCs/>
        </w:rPr>
        <w:t xml:space="preserve"> was ranked second in the causes for hospital outpatient department visits in 2008 in the same age group. </w:t>
      </w:r>
    </w:p>
    <w:p w:rsidR="000A66D7" w:rsidRDefault="000A66D7">
      <w:pPr>
        <w:rPr>
          <w:iCs/>
        </w:rPr>
      </w:pPr>
    </w:p>
    <w:p w:rsidR="000A66D7" w:rsidRDefault="000A66D7">
      <w:pPr>
        <w:pStyle w:val="Heading4"/>
        <w:spacing w:before="0" w:after="0"/>
        <w:rPr>
          <w:iCs/>
        </w:rPr>
      </w:pPr>
      <w:r>
        <w:rPr>
          <w:iCs/>
        </w:rPr>
        <w:t>A clinical perspective</w:t>
      </w:r>
    </w:p>
    <w:p w:rsidR="000A66D7" w:rsidRDefault="000A66D7">
      <w:pPr>
        <w:rPr>
          <w:iCs/>
        </w:rPr>
      </w:pPr>
      <w:r>
        <w:rPr>
          <w:iCs/>
        </w:rPr>
        <w:t xml:space="preserve">We interviewed a medical practitioner at the </w:t>
      </w:r>
      <w:proofErr w:type="spellStart"/>
      <w:r>
        <w:rPr>
          <w:iCs/>
        </w:rPr>
        <w:t>Tarkavale</w:t>
      </w:r>
      <w:proofErr w:type="spellEnd"/>
      <w:r>
        <w:rPr>
          <w:iCs/>
        </w:rPr>
        <w:t xml:space="preserve"> Hospital who explained: </w:t>
      </w:r>
    </w:p>
    <w:p w:rsidR="000A66D7" w:rsidRDefault="000A66D7">
      <w:pPr>
        <w:ind w:left="720"/>
        <w:rPr>
          <w:i/>
        </w:rPr>
      </w:pPr>
      <w:r>
        <w:rPr>
          <w:i/>
        </w:rPr>
        <w:t>“Gastro-</w:t>
      </w:r>
      <w:proofErr w:type="spellStart"/>
      <w:r>
        <w:rPr>
          <w:i/>
        </w:rPr>
        <w:t>enteritus</w:t>
      </w:r>
      <w:proofErr w:type="spellEnd"/>
      <w:r>
        <w:rPr>
          <w:i/>
        </w:rPr>
        <w:t xml:space="preserve"> can be caused by a variety of infectious and non-infectious factors. The common infectious causes of gastroenteritis are viruses especially bacteria such as E. Coli, Salmonella, </w:t>
      </w:r>
      <w:proofErr w:type="spellStart"/>
      <w:r>
        <w:rPr>
          <w:i/>
        </w:rPr>
        <w:t>Shigella</w:t>
      </w:r>
      <w:proofErr w:type="spellEnd"/>
      <w:r>
        <w:rPr>
          <w:i/>
        </w:rPr>
        <w:t xml:space="preserve">, Campylobacter and </w:t>
      </w:r>
      <w:proofErr w:type="spellStart"/>
      <w:r>
        <w:rPr>
          <w:i/>
        </w:rPr>
        <w:t>Versinia</w:t>
      </w:r>
      <w:proofErr w:type="spellEnd"/>
      <w:r>
        <w:rPr>
          <w:i/>
        </w:rPr>
        <w:t xml:space="preserve"> and </w:t>
      </w:r>
      <w:proofErr w:type="spellStart"/>
      <w:r>
        <w:rPr>
          <w:i/>
        </w:rPr>
        <w:t>Rota</w:t>
      </w:r>
      <w:proofErr w:type="spellEnd"/>
      <w:r>
        <w:rPr>
          <w:i/>
        </w:rPr>
        <w:t xml:space="preserve"> viruses; in addition, parasites such as </w:t>
      </w:r>
      <w:proofErr w:type="spellStart"/>
      <w:r>
        <w:rPr>
          <w:i/>
        </w:rPr>
        <w:t>Entamoeba</w:t>
      </w:r>
      <w:proofErr w:type="spellEnd"/>
      <w:r>
        <w:rPr>
          <w:i/>
        </w:rPr>
        <w:t xml:space="preserve">, </w:t>
      </w:r>
      <w:proofErr w:type="spellStart"/>
      <w:r>
        <w:rPr>
          <w:i/>
        </w:rPr>
        <w:t>Cryptosporidia</w:t>
      </w:r>
      <w:proofErr w:type="spellEnd"/>
      <w:r>
        <w:rPr>
          <w:i/>
        </w:rPr>
        <w:t xml:space="preserve">, Giardiasis and </w:t>
      </w:r>
      <w:proofErr w:type="spellStart"/>
      <w:r>
        <w:rPr>
          <w:i/>
        </w:rPr>
        <w:t>Cyclospora</w:t>
      </w:r>
      <w:proofErr w:type="spellEnd"/>
      <w:r>
        <w:rPr>
          <w:i/>
        </w:rPr>
        <w:t xml:space="preserve">. The mode of transmission is </w:t>
      </w:r>
      <w:proofErr w:type="spellStart"/>
      <w:r>
        <w:rPr>
          <w:i/>
        </w:rPr>
        <w:t>orofaecal</w:t>
      </w:r>
      <w:proofErr w:type="spellEnd"/>
      <w:r>
        <w:rPr>
          <w:i/>
        </w:rPr>
        <w:t xml:space="preserve">. Correct and adequate treatment, given early, could avoid these deaths. </w:t>
      </w:r>
    </w:p>
    <w:p w:rsidR="000A66D7" w:rsidRDefault="000A66D7">
      <w:pPr>
        <w:ind w:left="720"/>
        <w:rPr>
          <w:i/>
        </w:rPr>
      </w:pPr>
    </w:p>
    <w:p w:rsidR="000A66D7" w:rsidRDefault="000A66D7">
      <w:pPr>
        <w:ind w:left="720"/>
        <w:rPr>
          <w:i/>
        </w:rPr>
      </w:pPr>
      <w:proofErr w:type="spellStart"/>
      <w:r>
        <w:rPr>
          <w:i/>
        </w:rPr>
        <w:t>Diarrhea</w:t>
      </w:r>
      <w:proofErr w:type="spellEnd"/>
      <w:r>
        <w:rPr>
          <w:i/>
        </w:rPr>
        <w:t xml:space="preserve"> may present as a mild self-limiting episode, acute rapid dehydration with electrolyte imbalance or persistent </w:t>
      </w:r>
      <w:proofErr w:type="spellStart"/>
      <w:r>
        <w:rPr>
          <w:i/>
        </w:rPr>
        <w:t>diarrhea</w:t>
      </w:r>
      <w:proofErr w:type="spellEnd"/>
      <w:r>
        <w:rPr>
          <w:i/>
        </w:rPr>
        <w:t xml:space="preserve"> with nutritional deficiencies and electrolyte and fluid imbalances. It has been observed that children often present to the health facilities with severe dehydration. These children have a higher risk of deranged electrolytes and fluid imbalances which make adequate resuscitation difficult resulting in death of some of these children, while some of the children are brought in already dead. </w:t>
      </w:r>
    </w:p>
    <w:p w:rsidR="000A66D7" w:rsidRDefault="000A66D7">
      <w:pPr>
        <w:rPr>
          <w:iCs/>
        </w:rPr>
      </w:pPr>
    </w:p>
    <w:p w:rsidR="000A66D7" w:rsidRDefault="000A66D7">
      <w:pPr>
        <w:pStyle w:val="BodyTextIndent2"/>
      </w:pPr>
      <w:r>
        <w:lastRenderedPageBreak/>
        <w:t xml:space="preserve">In addition, </w:t>
      </w:r>
      <w:proofErr w:type="spellStart"/>
      <w:r>
        <w:t>Tarkavale</w:t>
      </w:r>
      <w:proofErr w:type="spellEnd"/>
      <w:r>
        <w:t xml:space="preserve"> Hospital has no laboratory facilities. This makes it difficult to diagnose electrolyte imbalances with the urgency needed. For the above reasons, early presentation to health facilities is necessary to prevent the complications of </w:t>
      </w:r>
      <w:proofErr w:type="spellStart"/>
      <w:r>
        <w:t>diarrhea</w:t>
      </w:r>
      <w:proofErr w:type="spellEnd"/>
      <w:r>
        <w:t xml:space="preserve">. </w:t>
      </w:r>
    </w:p>
    <w:p w:rsidR="000A66D7" w:rsidRDefault="000A66D7">
      <w:pPr>
        <w:rPr>
          <w:iCs/>
        </w:rPr>
      </w:pPr>
    </w:p>
    <w:p w:rsidR="000A66D7" w:rsidRDefault="000A66D7">
      <w:pPr>
        <w:pStyle w:val="BodyTextIndent2"/>
      </w:pPr>
      <w:r>
        <w:t xml:space="preserve">These complications which can result in death are overwhelming septicaemia, fluid and electrolyte derangements and </w:t>
      </w:r>
      <w:proofErr w:type="spellStart"/>
      <w:r>
        <w:t>hypovolemia</w:t>
      </w:r>
      <w:proofErr w:type="spellEnd"/>
      <w:r>
        <w:t xml:space="preserve"> (depleted blood volume) due to rapid or chronic fluid loss. Early presentation to the health facility allows the children to be attended to before they develop these complications. This also makes it important to understand the issues surrounding why caregivers often bring their children to the health facilities when it is too late to save them. Caregivers’ reasons for delayed seeking of medical attention for their children are complex and varied and may be linked with culture, beliefs and values.</w:t>
      </w:r>
    </w:p>
    <w:p w:rsidR="000A66D7" w:rsidRDefault="000A66D7">
      <w:pPr>
        <w:pStyle w:val="CommentText"/>
        <w:rPr>
          <w:rFonts w:ascii="Trebuchet MS" w:hAnsi="Trebuchet MS" w:cs="Arial"/>
          <w:iCs/>
        </w:rPr>
      </w:pPr>
    </w:p>
    <w:p w:rsidR="000A66D7" w:rsidRDefault="000A66D7">
      <w:pPr>
        <w:ind w:left="720"/>
        <w:rPr>
          <w:i/>
        </w:rPr>
      </w:pPr>
      <w:proofErr w:type="spellStart"/>
      <w:r>
        <w:rPr>
          <w:i/>
        </w:rPr>
        <w:t>Diarrhea</w:t>
      </w:r>
      <w:proofErr w:type="spellEnd"/>
      <w:r>
        <w:rPr>
          <w:i/>
        </w:rPr>
        <w:t xml:space="preserve"> incidence and mortality has been aggravated by malnutrition and the Human Immunodeficiency Virus (HIV), both of which increase the risk of contracting </w:t>
      </w:r>
      <w:proofErr w:type="spellStart"/>
      <w:r>
        <w:rPr>
          <w:i/>
        </w:rPr>
        <w:t>diarrhea</w:t>
      </w:r>
      <w:proofErr w:type="spellEnd"/>
      <w:r>
        <w:rPr>
          <w:i/>
        </w:rPr>
        <w:t xml:space="preserve"> and also increase the potential of mortality from it.</w:t>
      </w:r>
    </w:p>
    <w:p w:rsidR="000A66D7" w:rsidRDefault="000A66D7">
      <w:pPr>
        <w:ind w:left="720"/>
        <w:rPr>
          <w:i/>
        </w:rPr>
      </w:pPr>
    </w:p>
    <w:p w:rsidR="000A66D7" w:rsidRDefault="000A66D7">
      <w:pPr>
        <w:ind w:left="720"/>
        <w:rPr>
          <w:i/>
        </w:rPr>
      </w:pPr>
      <w:r>
        <w:rPr>
          <w:i/>
        </w:rPr>
        <w:t xml:space="preserve">Prevention of </w:t>
      </w:r>
      <w:proofErr w:type="spellStart"/>
      <w:r>
        <w:rPr>
          <w:i/>
        </w:rPr>
        <w:t>diarrhea</w:t>
      </w:r>
      <w:proofErr w:type="spellEnd"/>
      <w:r w:rsidR="002A5010">
        <w:rPr>
          <w:i/>
        </w:rPr>
        <w:t xml:space="preserve"> </w:t>
      </w:r>
      <w:r>
        <w:rPr>
          <w:i/>
        </w:rPr>
        <w:t xml:space="preserve">could be achieved through good hygienic practices – especially </w:t>
      </w:r>
      <w:proofErr w:type="spellStart"/>
      <w:r>
        <w:rPr>
          <w:i/>
        </w:rPr>
        <w:t>handwashing</w:t>
      </w:r>
      <w:proofErr w:type="spellEnd"/>
      <w:r>
        <w:rPr>
          <w:i/>
        </w:rPr>
        <w:t xml:space="preserve">, provision of adequate sanitation and a sufficient available clean water supply.” </w:t>
      </w:r>
    </w:p>
    <w:p w:rsidR="000A66D7" w:rsidRDefault="000A66D7">
      <w:pPr>
        <w:pStyle w:val="Comment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0A66D7">
        <w:tc>
          <w:tcPr>
            <w:tcW w:w="9242" w:type="dxa"/>
            <w:shd w:val="clear" w:color="auto" w:fill="DBE5F1"/>
          </w:tcPr>
          <w:p w:rsidR="000A66D7" w:rsidRDefault="000A66D7">
            <w:pPr>
              <w:pStyle w:val="CommentText"/>
              <w:rPr>
                <w:rFonts w:ascii="Arial" w:hAnsi="Arial" w:cs="Arial"/>
              </w:rPr>
            </w:pPr>
          </w:p>
          <w:p w:rsidR="000A66D7" w:rsidRPr="002A5010" w:rsidRDefault="000A66D7">
            <w:pPr>
              <w:pStyle w:val="CommentText"/>
              <w:shd w:val="clear" w:color="auto" w:fill="DBE5F1"/>
              <w:rPr>
                <w:sz w:val="22"/>
                <w:szCs w:val="22"/>
              </w:rPr>
            </w:pPr>
            <w:r w:rsidRPr="002A5010">
              <w:rPr>
                <w:sz w:val="22"/>
                <w:szCs w:val="22"/>
              </w:rPr>
              <w:t xml:space="preserve">To widen your perspective on how this problem could be handled, search for readings addressing the issue of </w:t>
            </w:r>
            <w:proofErr w:type="spellStart"/>
            <w:r w:rsidRPr="002A5010">
              <w:rPr>
                <w:sz w:val="22"/>
                <w:szCs w:val="22"/>
              </w:rPr>
              <w:t>diarrhea</w:t>
            </w:r>
            <w:proofErr w:type="spellEnd"/>
            <w:r w:rsidRPr="002A5010">
              <w:rPr>
                <w:sz w:val="22"/>
                <w:szCs w:val="22"/>
              </w:rPr>
              <w:t xml:space="preserve">, and read this 2008 editorial from the </w:t>
            </w:r>
            <w:r w:rsidRPr="002A5010">
              <w:rPr>
                <w:i/>
                <w:iCs/>
                <w:sz w:val="22"/>
                <w:szCs w:val="22"/>
              </w:rPr>
              <w:t>Bulletin of the World Health Organization</w:t>
            </w:r>
            <w:r w:rsidRPr="002A5010">
              <w:rPr>
                <w:sz w:val="22"/>
                <w:szCs w:val="22"/>
              </w:rPr>
              <w:t xml:space="preserve">, questioning the potential loss of opportunities by losing sight of the issue of clean safe water in preventing disease. Bartram, J. (Jan 2008). Flowing Away: Water and Public Health Opportunities. </w:t>
            </w:r>
            <w:r w:rsidRPr="002A5010">
              <w:rPr>
                <w:i/>
                <w:iCs/>
                <w:sz w:val="22"/>
                <w:szCs w:val="22"/>
              </w:rPr>
              <w:t>Bulletin of the World Health Organization</w:t>
            </w:r>
            <w:r w:rsidRPr="002A5010">
              <w:rPr>
                <w:sz w:val="22"/>
                <w:szCs w:val="22"/>
              </w:rPr>
              <w:t xml:space="preserve">, 86(1): 2. [Online], Available: </w:t>
            </w:r>
            <w:hyperlink r:id="rId31" w:history="1">
              <w:r w:rsidRPr="002A5010">
                <w:rPr>
                  <w:rStyle w:val="Hyperlink"/>
                  <w:rFonts w:cs="Calibri"/>
                  <w:sz w:val="22"/>
                  <w:szCs w:val="22"/>
                </w:rPr>
                <w:t>http://www.who.int/bulletin/volumes/86/1/07-049619/en/</w:t>
              </w:r>
            </w:hyperlink>
            <w:r w:rsidRPr="002A5010">
              <w:rPr>
                <w:sz w:val="22"/>
                <w:szCs w:val="22"/>
              </w:rPr>
              <w:t xml:space="preserve"> [Downloaded: 27.7.12].</w:t>
            </w:r>
          </w:p>
          <w:p w:rsidR="000A66D7" w:rsidRDefault="000A66D7">
            <w:pPr>
              <w:pStyle w:val="CommentText"/>
              <w:rPr>
                <w:rFonts w:ascii="Arial" w:hAnsi="Arial" w:cs="Arial"/>
              </w:rPr>
            </w:pPr>
          </w:p>
        </w:tc>
      </w:tr>
    </w:tbl>
    <w:p w:rsidR="000A66D7" w:rsidRDefault="000A66D7">
      <w:pPr>
        <w:pStyle w:val="CommentText"/>
        <w:rPr>
          <w:rFonts w:ascii="Arial" w:hAnsi="Arial" w:cs="Arial"/>
        </w:rPr>
      </w:pPr>
    </w:p>
    <w:p w:rsidR="000A66D7" w:rsidRDefault="000A66D7">
      <w:pPr>
        <w:pStyle w:val="CommentText"/>
        <w:rPr>
          <w:rFonts w:cs="Arial"/>
          <w:iCs/>
          <w:sz w:val="22"/>
          <w:szCs w:val="22"/>
        </w:rPr>
      </w:pPr>
      <w:r>
        <w:rPr>
          <w:rFonts w:cs="Arial"/>
          <w:iCs/>
          <w:sz w:val="22"/>
          <w:szCs w:val="22"/>
        </w:rPr>
        <w:t xml:space="preserve">There are a number of ways that the </w:t>
      </w:r>
      <w:proofErr w:type="spellStart"/>
      <w:r>
        <w:rPr>
          <w:rFonts w:cs="Arial"/>
          <w:iCs/>
          <w:sz w:val="22"/>
          <w:szCs w:val="22"/>
        </w:rPr>
        <w:t>diarrhea</w:t>
      </w:r>
      <w:proofErr w:type="spellEnd"/>
      <w:r>
        <w:rPr>
          <w:rFonts w:cs="Arial"/>
          <w:iCs/>
          <w:sz w:val="22"/>
          <w:szCs w:val="22"/>
        </w:rPr>
        <w:t xml:space="preserve"> problem in </w:t>
      </w:r>
      <w:proofErr w:type="spellStart"/>
      <w:r>
        <w:rPr>
          <w:rFonts w:cs="Arial"/>
          <w:iCs/>
          <w:sz w:val="22"/>
          <w:szCs w:val="22"/>
        </w:rPr>
        <w:t>Kavu</w:t>
      </w:r>
      <w:proofErr w:type="spellEnd"/>
      <w:r>
        <w:rPr>
          <w:rFonts w:cs="Arial"/>
          <w:iCs/>
          <w:sz w:val="22"/>
          <w:szCs w:val="22"/>
        </w:rPr>
        <w:t xml:space="preserve"> could be addressed – some are more clinical, as suggested by the medical doctor, while others relate to cultural practices (as is also suggested); others could address the social factors underlying the problem. What do you think? In the next section, you are presented with a model for planning an intervention to address a problem like this. </w:t>
      </w:r>
    </w:p>
    <w:p w:rsidR="000A66D7" w:rsidRDefault="000A66D7">
      <w:pPr>
        <w:ind w:left="-1440" w:firstLine="1440"/>
        <w:rPr>
          <w:rFonts w:ascii="Arial" w:hAnsi="Arial" w:cs="Arial"/>
        </w:rPr>
      </w:pPr>
    </w:p>
    <w:tbl>
      <w:tblPr>
        <w:tblW w:w="9038" w:type="dxa"/>
        <w:shd w:val="clear" w:color="auto" w:fill="DBE5F1"/>
        <w:tblLook w:val="04A0" w:firstRow="1" w:lastRow="0" w:firstColumn="1" w:lastColumn="0" w:noHBand="0" w:noVBand="1"/>
      </w:tblPr>
      <w:tblGrid>
        <w:gridCol w:w="9038"/>
      </w:tblGrid>
      <w:tr w:rsidR="000A66D7" w:rsidRPr="004C5EE6" w:rsidTr="004C5EE6">
        <w:trPr>
          <w:trHeight w:val="2921"/>
        </w:trPr>
        <w:tc>
          <w:tcPr>
            <w:tcW w:w="9038" w:type="dxa"/>
            <w:shd w:val="clear" w:color="auto" w:fill="DBE5F1"/>
          </w:tcPr>
          <w:p w:rsidR="000A66D7" w:rsidRPr="004C5EE6" w:rsidRDefault="000A66D7">
            <w:pPr>
              <w:autoSpaceDE w:val="0"/>
              <w:autoSpaceDN w:val="0"/>
              <w:adjustRightInd w:val="0"/>
              <w:rPr>
                <w:lang w:val="en-US"/>
              </w:rPr>
            </w:pPr>
          </w:p>
          <w:p w:rsidR="000A66D7" w:rsidRPr="004C5EE6" w:rsidRDefault="000A66D7">
            <w:pPr>
              <w:ind w:left="-1440" w:firstLine="1440"/>
              <w:rPr>
                <w:b/>
              </w:rPr>
            </w:pPr>
            <w:r w:rsidRPr="004C5EE6">
              <w:rPr>
                <w:b/>
              </w:rPr>
              <w:t xml:space="preserve">A Definition of </w:t>
            </w:r>
            <w:proofErr w:type="spellStart"/>
            <w:r w:rsidRPr="004C5EE6">
              <w:rPr>
                <w:b/>
              </w:rPr>
              <w:t>Diarrhea</w:t>
            </w:r>
            <w:proofErr w:type="spellEnd"/>
          </w:p>
          <w:p w:rsidR="000A66D7" w:rsidRPr="004C5EE6" w:rsidRDefault="000A66D7">
            <w:r w:rsidRPr="004C5EE6">
              <w:rPr>
                <w:lang w:val="en-US"/>
              </w:rPr>
              <w:t xml:space="preserve"> “</w:t>
            </w:r>
            <w:r w:rsidRPr="004C5EE6">
              <w:rPr>
                <w:i/>
                <w:iCs/>
                <w:lang w:val="en-US"/>
              </w:rPr>
              <w:t>Diarrhea” is an alteration in a normal bowel movement characterized by an increase in the water content, volume, or frequency of stools. A decrease in consistency (i.e., soft or liquid) and an increase in frequency of bowel movements to &gt;3 stools per day have often been used as a definition for epidemiological investigations. “Infectious diarrhea” is diarrhea due to an infectious etiology, often accompanied by symptoms of nausea, vomiting, or abdominal cramps. “Acute diarrhea” is an episode of diarrhea of &lt;14 days in duration. “Persistent diarrhea” is diarrhea of 114 days in duration. Although we will not categorize persistent diarrhea further here, some experts refer to diarrhea that lasts 130 days as “chronic”</w:t>
            </w:r>
            <w:r w:rsidRPr="004C5EE6">
              <w:rPr>
                <w:lang w:val="en-US"/>
              </w:rPr>
              <w:t xml:space="preserve"> [</w:t>
            </w:r>
            <w:proofErr w:type="spellStart"/>
            <w:r w:rsidRPr="004C5EE6">
              <w:rPr>
                <w:lang w:val="en-US"/>
              </w:rPr>
              <w:t>Guerrant</w:t>
            </w:r>
            <w:proofErr w:type="spellEnd"/>
            <w:r w:rsidRPr="004C5EE6">
              <w:rPr>
                <w:lang w:val="en-US"/>
              </w:rPr>
              <w:t xml:space="preserve"> et al, 2001].</w:t>
            </w:r>
          </w:p>
        </w:tc>
      </w:tr>
    </w:tbl>
    <w:p w:rsidR="0024653C" w:rsidRDefault="0024653C">
      <w:pPr>
        <w:pStyle w:val="Heading1"/>
        <w:rPr>
          <w:rFonts w:cs="Arial"/>
          <w:iCs/>
        </w:rPr>
      </w:pPr>
    </w:p>
    <w:p w:rsidR="0024653C" w:rsidRDefault="0024653C" w:rsidP="0024653C">
      <w:pPr>
        <w:rPr>
          <w:rFonts w:ascii="Trebuchet MS" w:hAnsi="Trebuchet MS"/>
          <w:color w:val="021F59"/>
          <w:kern w:val="28"/>
          <w:sz w:val="40"/>
          <w:szCs w:val="40"/>
        </w:rPr>
      </w:pPr>
    </w:p>
    <w:p w:rsidR="000A66D7" w:rsidRDefault="000A66D7">
      <w:pPr>
        <w:pStyle w:val="Heading1"/>
        <w:rPr>
          <w:rFonts w:ascii="Calibri" w:hAnsi="Calibri"/>
          <w:bCs w:val="0"/>
          <w:lang w:val="en-US"/>
        </w:rPr>
      </w:pPr>
      <w:r>
        <w:rPr>
          <w:rFonts w:cs="Arial"/>
          <w:iCs/>
        </w:rPr>
        <w:br w:type="page"/>
      </w:r>
      <w:r>
        <w:rPr>
          <w:rFonts w:ascii="Calibri" w:hAnsi="Calibri"/>
          <w:lang w:val="en-US"/>
        </w:rPr>
        <w:lastRenderedPageBreak/>
        <w:t xml:space="preserve">SECTION </w:t>
      </w:r>
      <w:r>
        <w:rPr>
          <w:rFonts w:ascii="Calibri" w:hAnsi="Calibri"/>
          <w:sz w:val="72"/>
          <w:szCs w:val="72"/>
          <w:lang w:val="en-US"/>
        </w:rPr>
        <w:t>4</w:t>
      </w:r>
      <w:r>
        <w:rPr>
          <w:rFonts w:ascii="Calibri" w:hAnsi="Calibri"/>
          <w:lang w:val="en-US"/>
        </w:rPr>
        <w:t xml:space="preserve"> – </w:t>
      </w:r>
      <w:r>
        <w:rPr>
          <w:rFonts w:ascii="Calibri" w:hAnsi="Calibri"/>
          <w:bCs w:val="0"/>
          <w:lang w:val="en-US"/>
        </w:rPr>
        <w:t>Planning</w:t>
      </w:r>
      <w:r>
        <w:rPr>
          <w:rFonts w:ascii="Calibri" w:hAnsi="Calibri"/>
          <w:lang w:val="en-US"/>
        </w:rPr>
        <w:t xml:space="preserve"> </w:t>
      </w:r>
      <w:r>
        <w:rPr>
          <w:rFonts w:ascii="Calibri" w:hAnsi="Calibri"/>
          <w:bCs w:val="0"/>
          <w:lang w:val="en-US"/>
        </w:rPr>
        <w:t>Public Health Action</w:t>
      </w:r>
    </w:p>
    <w:p w:rsidR="000A66D7" w:rsidRDefault="000A66D7">
      <w:pPr>
        <w:pStyle w:val="Heading4"/>
        <w:rPr>
          <w:color w:val="002060"/>
          <w:sz w:val="32"/>
          <w:szCs w:val="32"/>
        </w:rPr>
      </w:pPr>
      <w:r>
        <w:rPr>
          <w:color w:val="002060"/>
          <w:sz w:val="32"/>
          <w:szCs w:val="32"/>
        </w:rPr>
        <w:t>4.1    A Public Health Action Implementation Cycle</w:t>
      </w:r>
    </w:p>
    <w:p w:rsidR="000A66D7" w:rsidRDefault="000A66D7">
      <w:pPr>
        <w:tabs>
          <w:tab w:val="left" w:pos="5387"/>
        </w:tabs>
        <w:autoSpaceDE w:val="0"/>
        <w:autoSpaceDN w:val="0"/>
        <w:adjustRightInd w:val="0"/>
        <w:rPr>
          <w:rFonts w:ascii="Cambria" w:hAnsi="Cambria"/>
          <w:lang w:eastAsia="en-GB"/>
        </w:rPr>
      </w:pPr>
    </w:p>
    <w:p w:rsidR="000A66D7" w:rsidRDefault="007A2E92">
      <w:pPr>
        <w:tabs>
          <w:tab w:val="left" w:pos="5387"/>
        </w:tabs>
        <w:autoSpaceDE w:val="0"/>
        <w:autoSpaceDN w:val="0"/>
        <w:adjustRightInd w:val="0"/>
        <w:rPr>
          <w:rFonts w:ascii="Cambria" w:hAnsi="Cambria"/>
          <w:lang w:eastAsia="en-GB"/>
        </w:rPr>
      </w:pPr>
      <w:r>
        <w:rPr>
          <w:bCs/>
          <w:noProof/>
          <w:color w:val="002060"/>
          <w:sz w:val="32"/>
          <w:szCs w:val="32"/>
          <w:lang w:val="en-US" w:eastAsia="en-GB"/>
        </w:rPr>
        <w:pict>
          <v:shape id="_x0000_s1123" type="#_x0000_t202" style="position:absolute;margin-left:4in;margin-top:5.1pt;width:180pt;height:501.8pt;z-index:251655168" fillcolor="#dbe5f1">
            <v:textbox style="mso-next-textbox:#_x0000_s1123">
              <w:txbxContent>
                <w:p w:rsidR="000A66D7" w:rsidRPr="000A66D7" w:rsidRDefault="000A66D7">
                  <w:pPr>
                    <w:rPr>
                      <w:b/>
                      <w:sz w:val="18"/>
                      <w:szCs w:val="20"/>
                    </w:rPr>
                  </w:pPr>
                  <w:r w:rsidRPr="000A66D7">
                    <w:rPr>
                      <w:b/>
                      <w:sz w:val="18"/>
                      <w:szCs w:val="20"/>
                    </w:rPr>
                    <w:t>The Triple A Cycle</w:t>
                  </w:r>
                </w:p>
                <w:p w:rsidR="000A66D7" w:rsidRPr="000A66D7" w:rsidRDefault="000A66D7">
                  <w:pPr>
                    <w:rPr>
                      <w:sz w:val="18"/>
                      <w:szCs w:val="20"/>
                    </w:rPr>
                  </w:pPr>
                </w:p>
                <w:p w:rsidR="000A66D7" w:rsidRPr="000A66D7" w:rsidRDefault="000A66D7">
                  <w:pPr>
                    <w:rPr>
                      <w:sz w:val="18"/>
                      <w:szCs w:val="20"/>
                    </w:rPr>
                  </w:pPr>
                  <w:r w:rsidRPr="000A66D7">
                    <w:rPr>
                      <w:sz w:val="18"/>
                      <w:szCs w:val="20"/>
                    </w:rPr>
                    <w:t xml:space="preserve">The Triple </w:t>
                  </w:r>
                  <w:proofErr w:type="gramStart"/>
                  <w:r w:rsidRPr="000A66D7">
                    <w:rPr>
                      <w:sz w:val="18"/>
                      <w:szCs w:val="20"/>
                    </w:rPr>
                    <w:t>A</w:t>
                  </w:r>
                  <w:proofErr w:type="gramEnd"/>
                  <w:r w:rsidRPr="000A66D7">
                    <w:rPr>
                      <w:sz w:val="18"/>
                      <w:szCs w:val="20"/>
                    </w:rPr>
                    <w:t xml:space="preserve"> Cycle was designed as a tool for nutrition programme managers when planning nutrition interventions and is used in conjunction with the UNICEF Conceptual Framework [Pelletier, 2002]. </w:t>
                  </w:r>
                </w:p>
                <w:p w:rsidR="000A66D7" w:rsidRPr="000A66D7" w:rsidRDefault="000A66D7">
                  <w:pPr>
                    <w:rPr>
                      <w:sz w:val="18"/>
                      <w:szCs w:val="20"/>
                    </w:rPr>
                  </w:pPr>
                </w:p>
                <w:p w:rsidR="000A66D7" w:rsidRPr="000A66D7" w:rsidRDefault="000A66D7">
                  <w:pPr>
                    <w:autoSpaceDE w:val="0"/>
                    <w:autoSpaceDN w:val="0"/>
                    <w:adjustRightInd w:val="0"/>
                    <w:rPr>
                      <w:i/>
                      <w:iCs/>
                      <w:sz w:val="18"/>
                      <w:lang w:val="en-US"/>
                    </w:rPr>
                  </w:pPr>
                  <w:r w:rsidRPr="000A66D7">
                    <w:rPr>
                      <w:i/>
                      <w:iCs/>
                      <w:sz w:val="18"/>
                      <w:lang w:val="en-US"/>
                    </w:rPr>
                    <w:t>“After an initial assessment of the situation, the analysis of the causative</w:t>
                  </w:r>
                </w:p>
                <w:p w:rsidR="000A66D7" w:rsidRPr="000A66D7" w:rsidRDefault="000A66D7">
                  <w:pPr>
                    <w:autoSpaceDE w:val="0"/>
                    <w:autoSpaceDN w:val="0"/>
                    <w:adjustRightInd w:val="0"/>
                    <w:rPr>
                      <w:i/>
                      <w:iCs/>
                      <w:sz w:val="18"/>
                      <w:lang w:val="en-US"/>
                    </w:rPr>
                  </w:pPr>
                  <w:proofErr w:type="gramStart"/>
                  <w:r w:rsidRPr="000A66D7">
                    <w:rPr>
                      <w:i/>
                      <w:iCs/>
                      <w:sz w:val="18"/>
                      <w:lang w:val="en-US"/>
                    </w:rPr>
                    <w:t>processes</w:t>
                  </w:r>
                  <w:proofErr w:type="gramEnd"/>
                  <w:r w:rsidRPr="000A66D7">
                    <w:rPr>
                      <w:i/>
                      <w:iCs/>
                      <w:sz w:val="18"/>
                      <w:lang w:val="en-US"/>
                    </w:rPr>
                    <w:t xml:space="preserve"> follows. The determinants of malnutrition are very complex, as some</w:t>
                  </w:r>
                </w:p>
                <w:p w:rsidR="000A66D7" w:rsidRPr="000A66D7" w:rsidRDefault="000A66D7">
                  <w:pPr>
                    <w:autoSpaceDE w:val="0"/>
                    <w:autoSpaceDN w:val="0"/>
                    <w:adjustRightInd w:val="0"/>
                    <w:rPr>
                      <w:i/>
                      <w:iCs/>
                      <w:sz w:val="18"/>
                      <w:lang w:val="en-US"/>
                    </w:rPr>
                  </w:pPr>
                  <w:proofErr w:type="gramStart"/>
                  <w:r w:rsidRPr="000A66D7">
                    <w:rPr>
                      <w:i/>
                      <w:iCs/>
                      <w:sz w:val="18"/>
                      <w:lang w:val="en-US"/>
                    </w:rPr>
                    <w:t>are</w:t>
                  </w:r>
                  <w:proofErr w:type="gramEnd"/>
                  <w:r w:rsidRPr="000A66D7">
                    <w:rPr>
                      <w:i/>
                      <w:iCs/>
                      <w:sz w:val="18"/>
                      <w:lang w:val="en-US"/>
                    </w:rPr>
                    <w:t xml:space="preserve"> general while others are more context-specific. If the analysis is performed by a combination of people who live with or very close to the situation under review, it is more likely that the whole exercise will be more successful. The presence of individuals who are trained and experienced in such analysis will also improve the outcome. Based on the analysis of causative processes and an assessment of available or potential resources, actions are designed and implemented. Most situations do not necessarily improve with the first set of actions. The actions may, however, contribute to the creation of a new situation that is more conducive to actions that were not feasible before.</w:t>
                  </w:r>
                </w:p>
                <w:p w:rsidR="000A66D7" w:rsidRPr="000A66D7" w:rsidRDefault="000A66D7">
                  <w:pPr>
                    <w:pStyle w:val="PlainText"/>
                    <w:autoSpaceDE w:val="0"/>
                    <w:autoSpaceDN w:val="0"/>
                    <w:adjustRightInd w:val="0"/>
                    <w:rPr>
                      <w:rFonts w:ascii="Calibri" w:hAnsi="Calibri" w:cs="Calibri"/>
                      <w:i/>
                      <w:iCs/>
                      <w:sz w:val="18"/>
                      <w:szCs w:val="22"/>
                      <w:lang w:val="en-US"/>
                    </w:rPr>
                  </w:pPr>
                </w:p>
                <w:p w:rsidR="000A66D7" w:rsidRPr="000A66D7" w:rsidRDefault="000A66D7">
                  <w:pPr>
                    <w:autoSpaceDE w:val="0"/>
                    <w:autoSpaceDN w:val="0"/>
                    <w:adjustRightInd w:val="0"/>
                    <w:rPr>
                      <w:lang w:val="en-US"/>
                    </w:rPr>
                  </w:pPr>
                  <w:r w:rsidRPr="000A66D7">
                    <w:rPr>
                      <w:i/>
                      <w:iCs/>
                      <w:sz w:val="18"/>
                      <w:lang w:val="en-US"/>
                    </w:rPr>
                    <w:t xml:space="preserve">After the situation has been assessed and </w:t>
                  </w:r>
                  <w:proofErr w:type="spellStart"/>
                  <w:r w:rsidRPr="000A66D7">
                    <w:rPr>
                      <w:i/>
                      <w:iCs/>
                      <w:sz w:val="18"/>
                      <w:lang w:val="en-US"/>
                    </w:rPr>
                    <w:t>analysed</w:t>
                  </w:r>
                  <w:proofErr w:type="spellEnd"/>
                  <w:r w:rsidRPr="000A66D7">
                    <w:rPr>
                      <w:i/>
                      <w:iCs/>
                      <w:sz w:val="18"/>
                      <w:lang w:val="en-US"/>
                    </w:rPr>
                    <w:t xml:space="preserve"> and actions have been implemented, it is necessary to reassess the impact of the actions, and then to reanalyze it again. For this purpose, nutrition information systems must be in place”.</w:t>
                  </w:r>
                  <w:r w:rsidRPr="000A66D7">
                    <w:rPr>
                      <w:lang w:val="en-US"/>
                    </w:rPr>
                    <w:t xml:space="preserve"> </w:t>
                  </w:r>
                </w:p>
                <w:p w:rsidR="000A66D7" w:rsidRPr="000A66D7" w:rsidRDefault="000A66D7">
                  <w:pPr>
                    <w:pStyle w:val="FootnoteText"/>
                    <w:autoSpaceDE w:val="0"/>
                    <w:autoSpaceDN w:val="0"/>
                    <w:adjustRightInd w:val="0"/>
                    <w:rPr>
                      <w:szCs w:val="20"/>
                    </w:rPr>
                  </w:pPr>
                </w:p>
                <w:p w:rsidR="000A66D7" w:rsidRPr="000A66D7" w:rsidRDefault="000A66D7">
                  <w:pPr>
                    <w:autoSpaceDE w:val="0"/>
                    <w:autoSpaceDN w:val="0"/>
                    <w:adjustRightInd w:val="0"/>
                    <w:rPr>
                      <w:i/>
                      <w:iCs/>
                      <w:sz w:val="18"/>
                      <w:lang w:val="en-US"/>
                    </w:rPr>
                  </w:pPr>
                  <w:r w:rsidRPr="000A66D7">
                    <w:rPr>
                      <w:sz w:val="18"/>
                      <w:szCs w:val="20"/>
                    </w:rPr>
                    <w:t xml:space="preserve">You can read more about it at: </w:t>
                  </w:r>
                  <w:r w:rsidRPr="000A66D7">
                    <w:rPr>
                      <w:sz w:val="18"/>
                      <w:lang w:val="en-US"/>
                    </w:rPr>
                    <w:t xml:space="preserve">UNICEF. (1990). </w:t>
                  </w:r>
                  <w:r w:rsidRPr="000A66D7">
                    <w:rPr>
                      <w:i/>
                      <w:iCs/>
                      <w:sz w:val="18"/>
                      <w:lang w:val="en-US"/>
                    </w:rPr>
                    <w:t>Strategy for Improved Nutrition</w:t>
                  </w:r>
                </w:p>
                <w:p w:rsidR="000A66D7" w:rsidRPr="000A66D7" w:rsidRDefault="000A66D7">
                  <w:pPr>
                    <w:rPr>
                      <w:sz w:val="20"/>
                    </w:rPr>
                  </w:pPr>
                  <w:proofErr w:type="gramStart"/>
                  <w:r w:rsidRPr="000A66D7">
                    <w:rPr>
                      <w:i/>
                      <w:iCs/>
                      <w:sz w:val="18"/>
                      <w:lang w:val="en-US"/>
                    </w:rPr>
                    <w:t>of</w:t>
                  </w:r>
                  <w:proofErr w:type="gramEnd"/>
                  <w:r w:rsidRPr="000A66D7">
                    <w:rPr>
                      <w:i/>
                      <w:iCs/>
                      <w:sz w:val="18"/>
                      <w:lang w:val="en-US"/>
                    </w:rPr>
                    <w:t xml:space="preserve"> Children and Women in Developing Countries.</w:t>
                  </w:r>
                  <w:r w:rsidRPr="000A66D7">
                    <w:rPr>
                      <w:sz w:val="18"/>
                      <w:lang w:val="en-US"/>
                    </w:rPr>
                    <w:t xml:space="preserve"> [Online], Available: </w:t>
                  </w:r>
                  <w:r w:rsidRPr="000A66D7">
                    <w:rPr>
                      <w:sz w:val="18"/>
                    </w:rPr>
                    <w:t xml:space="preserve"> </w:t>
                  </w:r>
                  <w:hyperlink r:id="rId32" w:history="1">
                    <w:r w:rsidRPr="000A66D7">
                      <w:rPr>
                        <w:rStyle w:val="Hyperlink"/>
                        <w:rFonts w:cs="Calibri"/>
                        <w:sz w:val="18"/>
                      </w:rPr>
                      <w:t>http://www.ceecis.org/iodine/01_global/01_pl/01_01_other_1992_unicef.pdf</w:t>
                    </w:r>
                  </w:hyperlink>
                  <w:r w:rsidRPr="000A66D7">
                    <w:rPr>
                      <w:sz w:val="18"/>
                    </w:rPr>
                    <w:t xml:space="preserve"> [Downloaded: 20.7.12].</w:t>
                  </w:r>
                </w:p>
                <w:p w:rsidR="000A66D7" w:rsidRDefault="000A66D7">
                  <w:pPr>
                    <w:pStyle w:val="CommentText"/>
                  </w:pPr>
                </w:p>
              </w:txbxContent>
            </v:textbox>
            <w10:wrap type="square"/>
          </v:shape>
        </w:pict>
      </w:r>
      <w:r w:rsidR="000A66D7">
        <w:rPr>
          <w:rFonts w:ascii="Cambria" w:hAnsi="Cambria"/>
          <w:lang w:eastAsia="en-GB"/>
        </w:rPr>
        <w:t>In this section we introduce an Implementation Cycle for Public Health Action which was developed by Professor Mickey Chopra and Emeritus Professor David Sanders of the SOPH, UWC. It is based on UNICEF’s Triple A (Assessment, Analysis, Action) Cycle illustrated below.</w:t>
      </w:r>
    </w:p>
    <w:p w:rsidR="000A66D7" w:rsidRDefault="000A66D7">
      <w:pPr>
        <w:rPr>
          <w:rFonts w:ascii="Arial" w:hAnsi="Arial" w:cs="Arial"/>
        </w:rPr>
      </w:pPr>
      <w:r>
        <w:rPr>
          <w:rFonts w:ascii="Arial" w:hAnsi="Arial" w:cs="Arial"/>
        </w:rPr>
        <w:tab/>
      </w:r>
    </w:p>
    <w:p w:rsidR="000A66D7" w:rsidRDefault="007A2E92">
      <w:pPr>
        <w:rPr>
          <w:rFonts w:ascii="Arial" w:hAnsi="Arial" w:cs="Arial"/>
          <w:sz w:val="32"/>
        </w:rPr>
      </w:pPr>
      <w:r>
        <w:rPr>
          <w:rFonts w:ascii="Arial" w:hAnsi="Arial" w:cs="Arial"/>
          <w:noProof/>
          <w:lang w:val="en-ZA" w:eastAsia="en-ZA"/>
        </w:rPr>
        <w:pict>
          <v:oval id="_x0000_s1136" style="position:absolute;margin-left:-16.8pt;margin-top:5.9pt;width:108.6pt;height:65.35pt;z-index:251664384;mso-position-vertical-relative:line" fillcolor="#dbe5f1" stroked="f">
            <v:fill opacity="12452f"/>
            <v:textbox>
              <w:txbxContent>
                <w:p w:rsidR="000A66D7" w:rsidRDefault="000A66D7">
                  <w:pPr>
                    <w:rPr>
                      <w:sz w:val="20"/>
                      <w:szCs w:val="20"/>
                    </w:rPr>
                  </w:pPr>
                  <w:r>
                    <w:rPr>
                      <w:sz w:val="20"/>
                      <w:szCs w:val="20"/>
                    </w:rPr>
                    <w:t>Assessment of the situation</w:t>
                  </w:r>
                </w:p>
              </w:txbxContent>
            </v:textbox>
          </v:oval>
        </w:pict>
      </w:r>
      <w:r>
        <w:rPr>
          <w:rFonts w:ascii="Times New Roman" w:hAnsi="Times New Roman"/>
          <w:sz w:val="24"/>
          <w:lang w:val="en-U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29" type="#_x0000_t103" style="position:absolute;margin-left:145.2pt;margin-top:13.35pt;width:57.75pt;height:113.7pt;rotation:16061fd;z-index:251660288" adj=",18258,6078"/>
        </w:pict>
      </w:r>
      <w:r w:rsidR="000A66D7">
        <w:rPr>
          <w:rFonts w:ascii="Arial" w:hAnsi="Arial" w:cs="Arial"/>
        </w:rPr>
        <w:tab/>
      </w:r>
      <w:r w:rsidR="000A66D7">
        <w:rPr>
          <w:rFonts w:ascii="Arial" w:hAnsi="Arial" w:cs="Arial"/>
        </w:rPr>
        <w:tab/>
      </w:r>
      <w:r w:rsidR="000A66D7">
        <w:rPr>
          <w:rFonts w:ascii="Arial" w:hAnsi="Arial" w:cs="Arial"/>
        </w:rPr>
        <w:tab/>
      </w:r>
      <w:r w:rsidR="000A66D7">
        <w:rPr>
          <w:rFonts w:ascii="Arial" w:hAnsi="Arial" w:cs="Arial"/>
        </w:rPr>
        <w:tab/>
      </w:r>
      <w:r w:rsidR="000A66D7">
        <w:rPr>
          <w:rFonts w:ascii="Arial" w:hAnsi="Arial" w:cs="Arial"/>
        </w:rPr>
        <w:tab/>
        <w:t xml:space="preserve">       </w:t>
      </w:r>
    </w:p>
    <w:p w:rsidR="000A66D7" w:rsidRDefault="007A2E92">
      <w:pPr>
        <w:ind w:left="3600" w:firstLine="720"/>
        <w:rPr>
          <w:rFonts w:ascii="Arial" w:hAnsi="Arial" w:cs="Arial"/>
          <w:sz w:val="24"/>
        </w:rPr>
      </w:pPr>
      <w:r>
        <w:rPr>
          <w:rFonts w:ascii="Times New Roman" w:hAnsi="Times New Roman"/>
          <w:lang w:val="en-US"/>
        </w:rPr>
        <w:pict>
          <v:shape id="_x0000_s1130" type="#_x0000_t103" style="position:absolute;left:0;text-align:left;margin-left:75pt;margin-top:-.2pt;width:57.75pt;height:104.65pt;rotation:11022010fd;z-index:251661312" adj=",18258,6078"/>
        </w:pict>
      </w:r>
      <w:r>
        <w:rPr>
          <w:rFonts w:ascii="Arial" w:hAnsi="Arial" w:cs="Arial"/>
          <w:noProof/>
          <w:lang w:val="en-ZA" w:eastAsia="en-ZA"/>
        </w:rPr>
        <w:pict>
          <v:oval id="_x0000_s1134" style="position:absolute;left:0;text-align:left;margin-left:202.95pt;margin-top:4pt;width:72.45pt;height:94.45pt;z-index:251662336;mso-position-vertical-relative:line" fillcolor="#dbe5f1" stroked="f">
            <v:fill opacity="12452f"/>
            <v:textbox>
              <w:txbxContent>
                <w:p w:rsidR="000A66D7" w:rsidRDefault="000A66D7">
                  <w:pPr>
                    <w:rPr>
                      <w:sz w:val="20"/>
                      <w:szCs w:val="20"/>
                    </w:rPr>
                  </w:pPr>
                  <w:r>
                    <w:rPr>
                      <w:sz w:val="20"/>
                      <w:szCs w:val="20"/>
                    </w:rPr>
                    <w:t>Analysis of the causes</w:t>
                  </w:r>
                </w:p>
              </w:txbxContent>
            </v:textbox>
          </v:oval>
        </w:pict>
      </w:r>
    </w:p>
    <w:p w:rsidR="000A66D7" w:rsidRDefault="000A66D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0A66D7" w:rsidRDefault="000A66D7">
      <w:pPr>
        <w:ind w:left="2160" w:firstLine="720"/>
        <w:rPr>
          <w:rFonts w:ascii="Arial" w:hAnsi="Arial" w:cs="Arial"/>
        </w:rPr>
      </w:pPr>
    </w:p>
    <w:p w:rsidR="000A66D7" w:rsidRDefault="000A66D7">
      <w:pPr>
        <w:ind w:left="2880" w:firstLine="720"/>
        <w:rPr>
          <w:rFonts w:ascii="Arial" w:hAnsi="Arial" w:cs="Arial"/>
        </w:rPr>
      </w:pPr>
      <w:r>
        <w:rPr>
          <w:rFonts w:ascii="Arial" w:hAnsi="Arial" w:cs="Arial"/>
          <w:sz w:val="32"/>
        </w:rPr>
        <w:tab/>
      </w:r>
      <w:r>
        <w:rPr>
          <w:rFonts w:ascii="Arial" w:hAnsi="Arial" w:cs="Arial"/>
          <w:sz w:val="32"/>
        </w:rPr>
        <w:tab/>
      </w:r>
    </w:p>
    <w:p w:rsidR="000A66D7" w:rsidRDefault="007A2E92">
      <w:pPr>
        <w:rPr>
          <w:rFonts w:ascii="Arial" w:hAnsi="Arial" w:cs="Arial"/>
          <w:sz w:val="32"/>
        </w:rPr>
      </w:pPr>
      <w:r>
        <w:rPr>
          <w:rFonts w:ascii="Arial" w:hAnsi="Arial" w:cs="Arial"/>
          <w:noProof/>
          <w:sz w:val="32"/>
          <w:lang w:val="en-ZA" w:eastAsia="en-ZA"/>
        </w:rPr>
        <w:pict>
          <v:oval id="_x0000_s1135" style="position:absolute;margin-left:-20.4pt;margin-top:14.3pt;width:128.4pt;height:84.6pt;z-index:251663360;mso-position-vertical-relative:line" fillcolor="#dbe5f1" stroked="f">
            <v:fill opacity="12452f"/>
            <v:textbox>
              <w:txbxContent>
                <w:p w:rsidR="000A66D7" w:rsidRDefault="000A66D7">
                  <w:pPr>
                    <w:rPr>
                      <w:sz w:val="20"/>
                      <w:szCs w:val="20"/>
                    </w:rPr>
                  </w:pPr>
                  <w:r>
                    <w:rPr>
                      <w:sz w:val="20"/>
                      <w:szCs w:val="20"/>
                    </w:rPr>
                    <w:t>Action based on the analysis and available resources</w:t>
                  </w:r>
                </w:p>
              </w:txbxContent>
            </v:textbox>
          </v:oval>
        </w:pict>
      </w:r>
    </w:p>
    <w:p w:rsidR="000A66D7" w:rsidRDefault="000A66D7">
      <w:pPr>
        <w:rPr>
          <w:rFonts w:ascii="Arial" w:hAnsi="Arial" w:cs="Arial"/>
          <w:sz w:val="32"/>
        </w:rPr>
      </w:pPr>
    </w:p>
    <w:p w:rsidR="000A66D7" w:rsidRDefault="000A66D7">
      <w:pPr>
        <w:rPr>
          <w:rFonts w:ascii="Arial" w:hAnsi="Arial" w:cs="Arial"/>
          <w:sz w:val="32"/>
        </w:rPr>
      </w:pPr>
    </w:p>
    <w:p w:rsidR="000A66D7" w:rsidRDefault="000A66D7">
      <w:pPr>
        <w:ind w:left="2160" w:firstLine="720"/>
        <w:rPr>
          <w:rFonts w:ascii="Arial" w:hAnsi="Arial" w:cs="Arial"/>
        </w:rPr>
      </w:pPr>
    </w:p>
    <w:p w:rsidR="000A66D7" w:rsidRDefault="000A66D7">
      <w:pPr>
        <w:rPr>
          <w:rFonts w:ascii="Times New Roman" w:hAnsi="Times New Roman"/>
          <w:b/>
          <w:bCs/>
        </w:rPr>
      </w:pPr>
      <w:r>
        <w:tab/>
      </w:r>
      <w:r>
        <w:tab/>
      </w:r>
      <w:r>
        <w:tab/>
      </w:r>
      <w:r>
        <w:tab/>
      </w:r>
      <w:r>
        <w:tab/>
      </w:r>
      <w:r>
        <w:tab/>
      </w:r>
      <w:r>
        <w:tab/>
      </w:r>
      <w:r>
        <w:tab/>
      </w:r>
    </w:p>
    <w:p w:rsidR="000A66D7" w:rsidRDefault="000A66D7">
      <w:pPr>
        <w:autoSpaceDE w:val="0"/>
        <w:autoSpaceDN w:val="0"/>
        <w:adjustRightInd w:val="0"/>
        <w:rPr>
          <w:rFonts w:ascii="Cambria" w:hAnsi="Cambria"/>
        </w:rPr>
      </w:pPr>
    </w:p>
    <w:p w:rsidR="005033D9" w:rsidRPr="005033D9" w:rsidRDefault="005033D9">
      <w:r w:rsidRPr="005033D9">
        <w:t>Figure 3: The Triple A Cycle</w:t>
      </w:r>
    </w:p>
    <w:p w:rsidR="005033D9" w:rsidRDefault="005033D9">
      <w:pPr>
        <w:rPr>
          <w:rFonts w:ascii="Cambria" w:hAnsi="Cambria"/>
        </w:rPr>
      </w:pPr>
    </w:p>
    <w:p w:rsidR="000A66D7" w:rsidRDefault="000A66D7">
      <w:pPr>
        <w:rPr>
          <w:rFonts w:ascii="Cambria" w:hAnsi="Cambria"/>
        </w:rPr>
      </w:pPr>
      <w:r>
        <w:rPr>
          <w:rFonts w:ascii="Cambria" w:hAnsi="Cambria"/>
        </w:rPr>
        <w:t xml:space="preserve">You will find information more about the Triple </w:t>
      </w:r>
      <w:proofErr w:type="gramStart"/>
      <w:r>
        <w:rPr>
          <w:rFonts w:ascii="Cambria" w:hAnsi="Cambria"/>
        </w:rPr>
        <w:t>A</w:t>
      </w:r>
      <w:proofErr w:type="gramEnd"/>
      <w:r>
        <w:rPr>
          <w:rFonts w:ascii="Cambria" w:hAnsi="Cambria"/>
        </w:rPr>
        <w:t xml:space="preserve"> Cycle and the UNICEF Conceptual Framework in Pelletier, D. L. (2002). Toward a Common Understanding of Malnutrition: Assessing the Contributions of the UNICEF Framework. </w:t>
      </w:r>
      <w:proofErr w:type="gramStart"/>
      <w:r>
        <w:rPr>
          <w:rFonts w:ascii="Cambria" w:hAnsi="Cambria"/>
        </w:rPr>
        <w:t>World Bank/UNICEF.</w:t>
      </w:r>
      <w:proofErr w:type="gramEnd"/>
      <w:r>
        <w:rPr>
          <w:rFonts w:ascii="Cambria" w:hAnsi="Cambria"/>
        </w:rPr>
        <w:t xml:space="preserve"> [Online], Available: </w:t>
      </w:r>
      <w:r>
        <w:rPr>
          <w:rStyle w:val="Hyperlink"/>
          <w:rFonts w:ascii="Cambria" w:hAnsi="Cambria" w:cs="Calibri"/>
        </w:rPr>
        <w:t>http://www.tulane.edu/~internut/publications/WB_Bckgrd_Pprs/Narrative/</w:t>
      </w:r>
      <w:r>
        <w:rPr>
          <w:rStyle w:val="Hyperlink"/>
          <w:rFonts w:ascii="Cambria" w:hAnsi="Cambria" w:cs="Calibri"/>
        </w:rPr>
        <w:br/>
      </w:r>
      <w:proofErr w:type="gramStart"/>
      <w:r>
        <w:rPr>
          <w:rStyle w:val="Hyperlink"/>
          <w:rFonts w:ascii="Cambria" w:hAnsi="Cambria" w:cs="Calibri"/>
        </w:rPr>
        <w:t>NarrativeonePelletierfinal.doc</w:t>
      </w:r>
      <w:r>
        <w:rPr>
          <w:rFonts w:ascii="Cambria" w:hAnsi="Cambria"/>
        </w:rPr>
        <w:t xml:space="preserve">  [</w:t>
      </w:r>
      <w:proofErr w:type="gramEnd"/>
      <w:r>
        <w:rPr>
          <w:rFonts w:ascii="Cambria" w:hAnsi="Cambria"/>
        </w:rPr>
        <w:t>Downloaded 20.1010]</w:t>
      </w:r>
    </w:p>
    <w:p w:rsidR="000A66D7" w:rsidRDefault="000A66D7">
      <w:pPr>
        <w:autoSpaceDE w:val="0"/>
        <w:autoSpaceDN w:val="0"/>
        <w:adjustRightInd w:val="0"/>
        <w:rPr>
          <w:rFonts w:ascii="Cambria" w:hAnsi="Cambria"/>
        </w:rPr>
      </w:pPr>
    </w:p>
    <w:p w:rsidR="000A66D7" w:rsidRDefault="000A66D7">
      <w:pPr>
        <w:autoSpaceDE w:val="0"/>
        <w:autoSpaceDN w:val="0"/>
        <w:adjustRightInd w:val="0"/>
        <w:rPr>
          <w:rFonts w:ascii="Cambria" w:hAnsi="Cambria"/>
        </w:rPr>
      </w:pPr>
      <w:r>
        <w:rPr>
          <w:rFonts w:ascii="Cambria" w:hAnsi="Cambria"/>
        </w:rPr>
        <w:t xml:space="preserve">The Public Health Action model (see Fig 1 below) involves a number of phases, which revolve around the </w:t>
      </w:r>
      <w:r>
        <w:rPr>
          <w:rFonts w:ascii="Cambria" w:hAnsi="Cambria"/>
          <w:u w:val="single"/>
        </w:rPr>
        <w:t>hub of capa</w:t>
      </w:r>
      <w:r>
        <w:rPr>
          <w:rFonts w:ascii="Cambria" w:hAnsi="Cambria"/>
          <w:u w:val="single"/>
          <w:shd w:val="clear" w:color="auto" w:fill="FFFFFF"/>
        </w:rPr>
        <w:t>c</w:t>
      </w:r>
      <w:r>
        <w:rPr>
          <w:rFonts w:ascii="Cambria" w:hAnsi="Cambria"/>
          <w:u w:val="single"/>
        </w:rPr>
        <w:t>ity development</w:t>
      </w:r>
      <w:r>
        <w:rPr>
          <w:rFonts w:ascii="Cambria" w:hAnsi="Cambria"/>
        </w:rPr>
        <w:t>. At the heart of Public Health action, Sanders and Chopra argue (c.2005), is ongoing capacity development because the cycle cannot be undertaken unless sufficient capacity is developed amongst the various players in the field.</w:t>
      </w:r>
    </w:p>
    <w:p w:rsidR="000A66D7" w:rsidRDefault="000A66D7">
      <w:pPr>
        <w:autoSpaceDE w:val="0"/>
        <w:autoSpaceDN w:val="0"/>
        <w:adjustRightInd w:val="0"/>
      </w:pPr>
    </w:p>
    <w:p w:rsidR="000A66D7" w:rsidRDefault="000A66D7">
      <w:pPr>
        <w:autoSpaceDE w:val="0"/>
        <w:autoSpaceDN w:val="0"/>
        <w:adjustRightInd w:val="0"/>
        <w:rPr>
          <w:rFonts w:ascii="Cambria" w:hAnsi="Cambria"/>
        </w:rPr>
      </w:pPr>
      <w:r>
        <w:rPr>
          <w:rFonts w:ascii="Cambria" w:hAnsi="Cambria"/>
        </w:rPr>
        <w:t>Assessment is</w:t>
      </w:r>
      <w:r>
        <w:rPr>
          <w:rFonts w:ascii="Cambria" w:hAnsi="Cambria"/>
          <w:lang w:eastAsia="en-GB"/>
        </w:rPr>
        <w:t xml:space="preserve"> essentially a fact-finding process </w:t>
      </w:r>
      <w:r>
        <w:rPr>
          <w:rFonts w:ascii="Cambria" w:hAnsi="Cambria"/>
        </w:rPr>
        <w:t>(and would include the development of a situational or community profile) (Chopra &amp; McCoy, 2000); analysis is undertaken using epidemiological tools and qualitative methods: after this, actions are prioritised. In the course of analysis</w:t>
      </w:r>
      <w:r>
        <w:rPr>
          <w:rFonts w:ascii="Cambria" w:hAnsi="Cambria"/>
          <w:lang w:eastAsia="en-GB"/>
        </w:rPr>
        <w:t xml:space="preserve">, we identify a range of causes of a particular </w:t>
      </w:r>
      <w:proofErr w:type="gramStart"/>
      <w:r>
        <w:rPr>
          <w:rFonts w:ascii="Cambria" w:hAnsi="Cambria"/>
          <w:lang w:eastAsia="en-GB"/>
        </w:rPr>
        <w:t>problem,</w:t>
      </w:r>
      <w:proofErr w:type="gramEnd"/>
      <w:r>
        <w:rPr>
          <w:rFonts w:ascii="Cambria" w:hAnsi="Cambria"/>
          <w:lang w:eastAsia="en-GB"/>
        </w:rPr>
        <w:t xml:space="preserve"> interrogate the levels of causation and their </w:t>
      </w:r>
      <w:r>
        <w:rPr>
          <w:rFonts w:ascii="Cambria" w:hAnsi="Cambria"/>
          <w:u w:val="single"/>
          <w:lang w:eastAsia="en-GB"/>
        </w:rPr>
        <w:t>risk factors</w:t>
      </w:r>
      <w:r>
        <w:rPr>
          <w:rFonts w:ascii="Cambria" w:hAnsi="Cambria"/>
          <w:lang w:eastAsia="en-GB"/>
        </w:rPr>
        <w:t xml:space="preserve"> including the social determinants that may underpin the problem.</w:t>
      </w:r>
    </w:p>
    <w:p w:rsidR="000A66D7" w:rsidRDefault="000A66D7">
      <w:pPr>
        <w:rPr>
          <w:rFonts w:ascii="Cambria" w:hAnsi="Cambria"/>
          <w:lang w:val="en-US"/>
        </w:rPr>
      </w:pPr>
    </w:p>
    <w:p w:rsidR="000A66D7" w:rsidRDefault="000A66D7">
      <w:pPr>
        <w:rPr>
          <w:rFonts w:ascii="Cambria" w:hAnsi="Cambria"/>
          <w:lang w:eastAsia="en-GB"/>
        </w:rPr>
      </w:pPr>
      <w:r>
        <w:rPr>
          <w:rFonts w:ascii="Cambria" w:hAnsi="Cambria"/>
        </w:rPr>
        <w:t xml:space="preserve">Public Health Action </w:t>
      </w:r>
      <w:proofErr w:type="gramStart"/>
      <w:r>
        <w:rPr>
          <w:rFonts w:ascii="Cambria" w:hAnsi="Cambria"/>
        </w:rPr>
        <w:t>follows,</w:t>
      </w:r>
      <w:proofErr w:type="gramEnd"/>
      <w:r>
        <w:rPr>
          <w:rFonts w:ascii="Cambria" w:hAnsi="Cambria"/>
        </w:rPr>
        <w:t xml:space="preserve"> which in Chopra and Sanders’s elaboration includes planning to intervene. This leads to a Public Health intervention which addresses prevention and Health Promotion, and seeks to address social, economic and environmental determinants, as well as its implementation and management.</w:t>
      </w:r>
      <w:r>
        <w:rPr>
          <w:rFonts w:ascii="Cambria" w:hAnsi="Cambria"/>
          <w:lang w:eastAsia="en-GB"/>
        </w:rPr>
        <w:t xml:space="preserve"> </w:t>
      </w:r>
      <w:r>
        <w:rPr>
          <w:rFonts w:ascii="Cambria" w:hAnsi="Cambria"/>
        </w:rPr>
        <w:t>This leads to Public Health intervention, its implementation and management.</w:t>
      </w:r>
      <w:r>
        <w:rPr>
          <w:rFonts w:ascii="Cambria" w:hAnsi="Cambria"/>
          <w:lang w:eastAsia="en-GB"/>
        </w:rPr>
        <w:t xml:space="preserve"> Once the intervention has been implemented and managed for some time, one would </w:t>
      </w:r>
      <w:r>
        <w:rPr>
          <w:rFonts w:ascii="Cambria" w:hAnsi="Cambria"/>
          <w:lang w:eastAsia="en-GB"/>
        </w:rPr>
        <w:lastRenderedPageBreak/>
        <w:t xml:space="preserve">evaluate its effectiveness and potentially modify existing policy to consolidate changes in the health system. </w:t>
      </w:r>
      <w:proofErr w:type="gramStart"/>
      <w:r>
        <w:rPr>
          <w:rFonts w:ascii="Cambria" w:hAnsi="Cambria"/>
          <w:lang w:eastAsia="en-GB"/>
        </w:rPr>
        <w:t>However monitoring tools would need to be designed when planning the intervention.</w:t>
      </w:r>
      <w:proofErr w:type="gramEnd"/>
      <w:r>
        <w:rPr>
          <w:rFonts w:ascii="Cambria" w:hAnsi="Cambria"/>
          <w:lang w:eastAsia="en-GB"/>
        </w:rPr>
        <w:t xml:space="preserve"> Finally, if such policy is to be accepted and successfully implemented, advocacy and team building would be necessary in order that the intervention is successfully achieved. Sanders and Chopra note that sometimes team building occurs early on, so that different aspects of assessment and analysis can be undertaken by different individuals who may have different skills. </w:t>
      </w:r>
      <w:bookmarkStart w:id="8" w:name="_Toc302052651"/>
      <w:r>
        <w:rPr>
          <w:rFonts w:ascii="Cambria" w:hAnsi="Cambria"/>
          <w:lang w:eastAsia="en-GB"/>
        </w:rPr>
        <w:t>All these actions must be supported by training, mentoring and capacity development in line with changing knowledge, technologies, contextual understandings and the need for increased and re-orientated capacity. This process of capacity development is central to successful implementation.</w:t>
      </w:r>
    </w:p>
    <w:p w:rsidR="000A66D7" w:rsidRDefault="000A66D7">
      <w:pPr>
        <w:tabs>
          <w:tab w:val="left" w:pos="5387"/>
        </w:tabs>
        <w:autoSpaceDE w:val="0"/>
        <w:autoSpaceDN w:val="0"/>
        <w:adjustRightInd w:val="0"/>
        <w:rPr>
          <w:rFonts w:ascii="Cambria" w:hAnsi="Cambria"/>
          <w:lang w:eastAsia="en-GB"/>
        </w:rPr>
      </w:pPr>
    </w:p>
    <w:bookmarkEnd w:id="8"/>
    <w:p w:rsidR="000A66D7" w:rsidRDefault="000A66D7">
      <w:pPr>
        <w:tabs>
          <w:tab w:val="left" w:pos="5387"/>
        </w:tabs>
        <w:autoSpaceDE w:val="0"/>
        <w:autoSpaceDN w:val="0"/>
        <w:adjustRightInd w:val="0"/>
        <w:rPr>
          <w:b/>
          <w:bCs/>
          <w:sz w:val="20"/>
        </w:rPr>
      </w:pPr>
      <w:r>
        <w:rPr>
          <w:rFonts w:ascii="Cambria" w:hAnsi="Cambria"/>
          <w:lang w:eastAsia="en-GB"/>
        </w:rPr>
        <w:t xml:space="preserve">If you were a Public Health Officer in </w:t>
      </w:r>
      <w:proofErr w:type="spellStart"/>
      <w:r>
        <w:rPr>
          <w:rFonts w:ascii="Cambria" w:hAnsi="Cambria"/>
          <w:lang w:eastAsia="en-GB"/>
        </w:rPr>
        <w:t>Kavu</w:t>
      </w:r>
      <w:proofErr w:type="spellEnd"/>
      <w:r>
        <w:rPr>
          <w:rFonts w:ascii="Cambria" w:hAnsi="Cambria"/>
          <w:lang w:eastAsia="en-GB"/>
        </w:rPr>
        <w:t xml:space="preserve">, starting from scratch, you would be involved in assessment or conducting a situational assessment, in order to understand the particular context, the population, their socio-economic circumstances, their environmental resources and constraints, and of course the health problems they experience. </w:t>
      </w:r>
    </w:p>
    <w:p w:rsidR="000A66D7" w:rsidRDefault="000A66D7">
      <w:pPr>
        <w:rPr>
          <w:lang w:eastAsia="en-GB"/>
        </w:rPr>
      </w:pPr>
    </w:p>
    <w:p w:rsidR="000A66D7" w:rsidRDefault="000A66D7">
      <w:pPr>
        <w:rPr>
          <w:sz w:val="20"/>
        </w:rPr>
      </w:pPr>
      <w:r>
        <w:rPr>
          <w:sz w:val="20"/>
        </w:rPr>
        <w:t xml:space="preserve">Figure </w:t>
      </w:r>
      <w:r w:rsidR="005033D9">
        <w:rPr>
          <w:sz w:val="20"/>
        </w:rPr>
        <w:t>4</w:t>
      </w:r>
      <w:r>
        <w:rPr>
          <w:sz w:val="20"/>
        </w:rPr>
        <w:t xml:space="preserve">: A Model for Public Health Action </w:t>
      </w:r>
      <w:r>
        <w:rPr>
          <w:rFonts w:cs="Arial"/>
          <w:sz w:val="20"/>
          <w:lang w:eastAsia="en-GB"/>
        </w:rPr>
        <w:t>[C</w:t>
      </w:r>
      <w:r w:rsidR="004C5EE6">
        <w:rPr>
          <w:rFonts w:cs="Arial"/>
          <w:sz w:val="20"/>
          <w:lang w:eastAsia="en-GB"/>
        </w:rPr>
        <w:t>hopra, M. &amp; Sanders, D., c.2005]</w:t>
      </w:r>
    </w:p>
    <w:p w:rsidR="000A66D7" w:rsidRDefault="007A2E92">
      <w:pPr>
        <w:tabs>
          <w:tab w:val="left" w:pos="5387"/>
        </w:tabs>
        <w:autoSpaceDE w:val="0"/>
        <w:autoSpaceDN w:val="0"/>
        <w:adjustRightInd w:val="0"/>
        <w:rPr>
          <w:rFonts w:ascii="Cambria" w:hAnsi="Cambria"/>
          <w:lang w:eastAsia="en-GB"/>
        </w:rPr>
      </w:pPr>
      <w:r>
        <w:rPr>
          <w:noProof/>
          <w:shd w:val="clear" w:color="auto" w:fill="CCFFFF"/>
          <w:lang w:val="en-US" w:eastAsia="zh-TW"/>
        </w:rPr>
        <w:pict>
          <v:shape id="_x0000_s1126" type="#_x0000_t202" style="position:absolute;margin-left:-24pt;margin-top:48.75pt;width:100.2pt;height:177.2pt;z-index:251657216;mso-width-relative:margin;mso-height-relative:margin" fillcolor="#dbe5f1">
            <v:textbox style="mso-next-textbox:#_x0000_s1126">
              <w:txbxContent>
                <w:p w:rsidR="000A66D7" w:rsidRDefault="000A66D7">
                  <w:pPr>
                    <w:rPr>
                      <w:sz w:val="20"/>
                      <w:szCs w:val="20"/>
                      <w:lang w:eastAsia="en-GB"/>
                    </w:rPr>
                  </w:pPr>
                  <w:r>
                    <w:rPr>
                      <w:sz w:val="20"/>
                      <w:szCs w:val="20"/>
                      <w:shd w:val="clear" w:color="auto" w:fill="DBE5F1"/>
                      <w:lang w:eastAsia="en-GB"/>
                    </w:rPr>
                    <w:t>This implementation cycle below has been used as a metaphor and a template for the University of the Western Cape School of Public Health’s Postgraduate Programme curricula.</w:t>
                  </w:r>
                  <w:r>
                    <w:rPr>
                      <w:sz w:val="20"/>
                      <w:szCs w:val="20"/>
                      <w:lang w:eastAsia="en-GB"/>
                    </w:rPr>
                    <w:t xml:space="preserve">  </w:t>
                  </w:r>
                </w:p>
                <w:p w:rsidR="000A66D7" w:rsidRDefault="000A66D7"/>
              </w:txbxContent>
            </v:textbox>
          </v:shape>
        </w:pict>
      </w:r>
      <w:r>
        <w:rPr>
          <w:noProof/>
          <w:lang w:val="en-US"/>
        </w:rPr>
        <w:pict>
          <v:shape id="_x0000_s1122" type="#_x0000_t202" style="position:absolute;margin-left:36pt;margin-top:2.65pt;width:464.55pt;height:349.25pt;z-index:251654144" stroked="f">
            <v:fill opacity="12452f"/>
            <v:textbox style="mso-next-textbox:#_x0000_s1122">
              <w:txbxContent>
                <w:bookmarkStart w:id="9" w:name="_MON_1405170791"/>
                <w:bookmarkEnd w:id="9"/>
                <w:bookmarkStart w:id="10" w:name="_MON_1405146174"/>
                <w:bookmarkEnd w:id="10"/>
                <w:p w:rsidR="000A66D7" w:rsidRDefault="000A66D7">
                  <w:r>
                    <w:object w:dxaOrig="8994" w:dyaOrig="5530">
                      <v:shape id="_x0000_i1027" type="#_x0000_t75" style="width:450.4pt;height:342.4pt" o:ole="">
                        <v:imagedata r:id="rId33" o:title=""/>
                      </v:shape>
                      <o:OLEObject Type="Embed" ProgID="Word.Picture.8" ShapeID="_x0000_i1027" DrawAspect="Content" ObjectID="_1406526341" r:id="rId34"/>
                    </w:object>
                  </w:r>
                </w:p>
              </w:txbxContent>
            </v:textbox>
          </v:shape>
        </w:pict>
      </w:r>
      <w:r w:rsidR="000A66D7">
        <w:rPr>
          <w:sz w:val="36"/>
          <w:bdr w:val="single" w:sz="4" w:space="0" w:color="auto"/>
        </w:rPr>
        <w:br w:type="page"/>
      </w:r>
      <w:r w:rsidR="000A66D7">
        <w:rPr>
          <w:rFonts w:ascii="Trebuchet MS" w:hAnsi="Trebuchet MS"/>
          <w:b/>
          <w:lang w:eastAsia="en-GB"/>
        </w:rPr>
        <w:lastRenderedPageBreak/>
        <w:t xml:space="preserve"> </w:t>
      </w:r>
    </w:p>
    <w:p w:rsidR="000A66D7" w:rsidRDefault="000A66D7">
      <w:pPr>
        <w:autoSpaceDE w:val="0"/>
        <w:autoSpaceDN w:val="0"/>
        <w:adjustRightInd w:val="0"/>
      </w:pPr>
    </w:p>
    <w:tbl>
      <w:tblPr>
        <w:tblW w:w="4991" w:type="pct"/>
        <w:tblBorders>
          <w:top w:val="single" w:sz="6" w:space="0" w:color="BFBFBF"/>
          <w:left w:val="single" w:sz="6" w:space="0" w:color="BFBFBF"/>
          <w:bottom w:val="single" w:sz="6" w:space="0" w:color="BFBFBF"/>
          <w:right w:val="single" w:sz="6" w:space="0" w:color="BFBFBF"/>
        </w:tblBorders>
        <w:tblCellMar>
          <w:bottom w:w="170" w:type="dxa"/>
          <w:right w:w="170" w:type="dxa"/>
        </w:tblCellMar>
        <w:tblLook w:val="01E0" w:firstRow="1" w:lastRow="1" w:firstColumn="1" w:lastColumn="1" w:noHBand="0" w:noVBand="0"/>
      </w:tblPr>
      <w:tblGrid>
        <w:gridCol w:w="2279"/>
        <w:gridCol w:w="7461"/>
      </w:tblGrid>
      <w:tr w:rsidR="000A66D7">
        <w:trPr>
          <w:cantSplit/>
          <w:trHeight w:val="9116"/>
        </w:trPr>
        <w:tc>
          <w:tcPr>
            <w:tcW w:w="1170" w:type="pct"/>
          </w:tcPr>
          <w:p w:rsidR="000A66D7" w:rsidRDefault="002F7B5D">
            <w:pPr>
              <w:keepNext/>
              <w:spacing w:before="160" w:after="120"/>
              <w:rPr>
                <w:rFonts w:ascii="Arial Narrow" w:hAnsi="Arial Narrow"/>
                <w:b/>
                <w:lang w:eastAsia="fr-CH"/>
              </w:rPr>
            </w:pPr>
            <w:r>
              <w:rPr>
                <w:rFonts w:ascii="Arial Narrow" w:hAnsi="Arial Narrow"/>
                <w:b/>
                <w:noProof/>
                <w:lang w:val="en-ZA" w:eastAsia="en-ZA"/>
              </w:rPr>
              <w:drawing>
                <wp:inline distT="0" distB="0" distL="0" distR="0">
                  <wp:extent cx="1195705" cy="1019810"/>
                  <wp:effectExtent l="19050" t="0" r="4445" b="0"/>
                  <wp:docPr id="8" name="Picture 3" descr="UWC SOPH Malnutrition_LB_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C SOPH Malnutrition_LB_Activity"/>
                          <pic:cNvPicPr>
                            <a:picLocks noChangeAspect="1" noChangeArrowheads="1"/>
                          </pic:cNvPicPr>
                        </pic:nvPicPr>
                        <pic:blipFill>
                          <a:blip r:embed="rId18" cstate="print"/>
                          <a:srcRect/>
                          <a:stretch>
                            <a:fillRect/>
                          </a:stretch>
                        </pic:blipFill>
                        <pic:spPr bwMode="auto">
                          <a:xfrm>
                            <a:off x="0" y="0"/>
                            <a:ext cx="1195705" cy="1019810"/>
                          </a:xfrm>
                          <a:prstGeom prst="rect">
                            <a:avLst/>
                          </a:prstGeom>
                          <a:noFill/>
                          <a:ln w="9525">
                            <a:noFill/>
                            <a:miter lim="800000"/>
                            <a:headEnd/>
                            <a:tailEnd/>
                          </a:ln>
                        </pic:spPr>
                      </pic:pic>
                    </a:graphicData>
                  </a:graphic>
                </wp:inline>
              </w:drawing>
            </w:r>
          </w:p>
        </w:tc>
        <w:tc>
          <w:tcPr>
            <w:tcW w:w="3830" w:type="pct"/>
          </w:tcPr>
          <w:p w:rsidR="000A66D7" w:rsidRDefault="000A66D7">
            <w:pPr>
              <w:keepNext/>
              <w:outlineLvl w:val="2"/>
              <w:rPr>
                <w:b/>
                <w:bCs/>
                <w:color w:val="002060"/>
                <w:sz w:val="32"/>
                <w:szCs w:val="32"/>
              </w:rPr>
            </w:pPr>
          </w:p>
          <w:p w:rsidR="000A66D7" w:rsidRDefault="000A66D7">
            <w:pPr>
              <w:keepNext/>
              <w:numPr>
                <w:ilvl w:val="1"/>
                <w:numId w:val="32"/>
              </w:numPr>
              <w:outlineLvl w:val="2"/>
              <w:rPr>
                <w:b/>
                <w:bCs/>
                <w:color w:val="002060"/>
                <w:sz w:val="32"/>
                <w:szCs w:val="32"/>
              </w:rPr>
            </w:pPr>
            <w:r>
              <w:rPr>
                <w:b/>
                <w:bCs/>
                <w:color w:val="002060"/>
                <w:sz w:val="32"/>
                <w:szCs w:val="32"/>
              </w:rPr>
              <w:t xml:space="preserve">Learning Activity 3 – Following a Public Health Action approach and planning an intervention for </w:t>
            </w:r>
            <w:proofErr w:type="spellStart"/>
            <w:r>
              <w:rPr>
                <w:b/>
                <w:bCs/>
                <w:color w:val="002060"/>
                <w:sz w:val="32"/>
                <w:szCs w:val="32"/>
              </w:rPr>
              <w:t>Kavu</w:t>
            </w:r>
            <w:proofErr w:type="spellEnd"/>
          </w:p>
          <w:p w:rsidR="000A66D7" w:rsidRDefault="000A66D7">
            <w:pPr>
              <w:keepNext/>
              <w:outlineLvl w:val="2"/>
              <w:rPr>
                <w:bCs/>
                <w:szCs w:val="28"/>
              </w:rPr>
            </w:pPr>
          </w:p>
          <w:p w:rsidR="000A66D7" w:rsidRDefault="000A66D7">
            <w:pPr>
              <w:keepNext/>
              <w:outlineLvl w:val="2"/>
              <w:rPr>
                <w:bCs/>
                <w:szCs w:val="28"/>
              </w:rPr>
            </w:pPr>
            <w:r>
              <w:rPr>
                <w:bCs/>
                <w:szCs w:val="28"/>
              </w:rPr>
              <w:t xml:space="preserve">Take the role of the newly appointed </w:t>
            </w:r>
            <w:r>
              <w:rPr>
                <w:rFonts w:cs="Arial"/>
                <w:iCs/>
              </w:rPr>
              <w:t xml:space="preserve">Environmental Health/Public Health Officer in the </w:t>
            </w:r>
            <w:proofErr w:type="spellStart"/>
            <w:r>
              <w:rPr>
                <w:rFonts w:cs="Arial"/>
                <w:iCs/>
              </w:rPr>
              <w:t>Tarkavale</w:t>
            </w:r>
            <w:proofErr w:type="spellEnd"/>
            <w:r>
              <w:rPr>
                <w:rFonts w:cs="Arial"/>
                <w:iCs/>
              </w:rPr>
              <w:t xml:space="preserve"> Municipality.</w:t>
            </w:r>
          </w:p>
          <w:p w:rsidR="000A66D7" w:rsidRDefault="000A66D7">
            <w:pPr>
              <w:pStyle w:val="ListParagraph"/>
              <w:keepNext/>
              <w:ind w:left="0"/>
              <w:outlineLvl w:val="2"/>
            </w:pPr>
          </w:p>
          <w:p w:rsidR="000A66D7" w:rsidRDefault="000A66D7">
            <w:pPr>
              <w:pStyle w:val="ListParagraph"/>
              <w:keepNext/>
              <w:ind w:left="0"/>
              <w:outlineLvl w:val="2"/>
            </w:pPr>
            <w:r>
              <w:t xml:space="preserve">Go back to your “But why?” table. Using three different </w:t>
            </w:r>
            <w:proofErr w:type="gramStart"/>
            <w:r>
              <w:t>colours,</w:t>
            </w:r>
            <w:proofErr w:type="gramEnd"/>
            <w:r>
              <w:t xml:space="preserve"> highlight the factors you identified according to those which could be addressed in the short, medium and longer term. This has to do with the level of control of the Public Health officer (which you will have to decide for yourself). Circle those conditions over which the residents have primary control.</w:t>
            </w:r>
          </w:p>
          <w:p w:rsidR="000A66D7" w:rsidRDefault="000A66D7">
            <w:pPr>
              <w:pStyle w:val="ListParagraph"/>
              <w:keepNext/>
              <w:ind w:left="0"/>
              <w:outlineLvl w:val="2"/>
              <w:rPr>
                <w:rFonts w:cs="Arial"/>
                <w:iCs/>
              </w:rPr>
            </w:pPr>
          </w:p>
          <w:p w:rsidR="000A66D7" w:rsidRDefault="000A66D7">
            <w:pPr>
              <w:pStyle w:val="ListParagraph"/>
              <w:keepNext/>
              <w:ind w:left="0"/>
              <w:outlineLvl w:val="2"/>
              <w:rPr>
                <w:rFonts w:cs="Arial"/>
                <w:iCs/>
              </w:rPr>
            </w:pPr>
            <w:r>
              <w:rPr>
                <w:rFonts w:cs="Arial"/>
                <w:iCs/>
              </w:rPr>
              <w:t xml:space="preserve">Using the Public Health Action Cycle introduced above, develop a short to medium term, and separately a long term Public Health strategy or plan which would address the prevalence of </w:t>
            </w:r>
            <w:proofErr w:type="spellStart"/>
            <w:r>
              <w:rPr>
                <w:rFonts w:cs="Arial"/>
                <w:iCs/>
              </w:rPr>
              <w:t>diarrhea</w:t>
            </w:r>
            <w:proofErr w:type="spellEnd"/>
            <w:r>
              <w:rPr>
                <w:rFonts w:cs="Arial"/>
                <w:iCs/>
              </w:rPr>
              <w:t xml:space="preserve"> in </w:t>
            </w:r>
            <w:proofErr w:type="spellStart"/>
            <w:r>
              <w:rPr>
                <w:rFonts w:cs="Arial"/>
                <w:iCs/>
              </w:rPr>
              <w:t>Kavu</w:t>
            </w:r>
            <w:proofErr w:type="spellEnd"/>
            <w:r>
              <w:rPr>
                <w:rFonts w:cs="Arial"/>
                <w:iCs/>
              </w:rPr>
              <w:t xml:space="preserve">. You could produce this as a table, a diagram, or on a large sheet of paper with a set of stickers or cards so that you can move items around while you work. </w:t>
            </w:r>
          </w:p>
          <w:p w:rsidR="000A66D7" w:rsidRDefault="000A66D7">
            <w:pPr>
              <w:pStyle w:val="ListParagraph"/>
              <w:keepNext/>
              <w:ind w:left="0"/>
              <w:outlineLvl w:val="2"/>
              <w:rPr>
                <w:rFonts w:cs="Arial"/>
                <w:iCs/>
              </w:rPr>
            </w:pPr>
          </w:p>
          <w:p w:rsidR="000A66D7" w:rsidRDefault="000A66D7">
            <w:pPr>
              <w:pStyle w:val="ListParagraph"/>
              <w:keepNext/>
              <w:ind w:left="0"/>
              <w:outlineLvl w:val="2"/>
              <w:rPr>
                <w:rFonts w:cs="Arial"/>
                <w:b/>
                <w:bCs/>
                <w:iCs/>
              </w:rPr>
            </w:pPr>
            <w:r>
              <w:rPr>
                <w:rFonts w:cs="Arial"/>
                <w:b/>
                <w:bCs/>
                <w:iCs/>
              </w:rPr>
              <w:t>A few guidelines:</w:t>
            </w:r>
          </w:p>
          <w:p w:rsidR="000A66D7" w:rsidRDefault="000A66D7">
            <w:pPr>
              <w:pStyle w:val="ListParagraph"/>
              <w:keepNext/>
              <w:numPr>
                <w:ilvl w:val="0"/>
                <w:numId w:val="37"/>
              </w:numPr>
              <w:outlineLvl w:val="2"/>
              <w:rPr>
                <w:rFonts w:cs="Arial"/>
                <w:iCs/>
              </w:rPr>
            </w:pPr>
            <w:r>
              <w:rPr>
                <w:rFonts w:cs="Arial"/>
                <w:iCs/>
              </w:rPr>
              <w:t xml:space="preserve">Your starting point should be prevention of </w:t>
            </w:r>
            <w:proofErr w:type="spellStart"/>
            <w:r>
              <w:rPr>
                <w:rFonts w:cs="Arial"/>
                <w:iCs/>
              </w:rPr>
              <w:t>diarrhea</w:t>
            </w:r>
            <w:proofErr w:type="spellEnd"/>
            <w:r>
              <w:rPr>
                <w:rFonts w:cs="Arial"/>
                <w:iCs/>
              </w:rPr>
              <w:t xml:space="preserve">. Explore any articles you find on strategies for preventing it, e.g. </w:t>
            </w:r>
            <w:r>
              <w:rPr>
                <w:rFonts w:cs="Arial"/>
              </w:rPr>
              <w:t>Scott, B. (2006).</w:t>
            </w:r>
          </w:p>
          <w:p w:rsidR="000A66D7" w:rsidRDefault="000A66D7">
            <w:pPr>
              <w:pStyle w:val="ListParagraph"/>
              <w:keepNext/>
              <w:numPr>
                <w:ilvl w:val="0"/>
                <w:numId w:val="37"/>
              </w:numPr>
              <w:outlineLvl w:val="2"/>
              <w:rPr>
                <w:rFonts w:cs="Arial"/>
                <w:iCs/>
              </w:rPr>
            </w:pPr>
            <w:r>
              <w:rPr>
                <w:rFonts w:cs="Arial"/>
                <w:iCs/>
              </w:rPr>
              <w:t xml:space="preserve">Be sure to consider working with all the relevant stakeholders. </w:t>
            </w:r>
          </w:p>
          <w:p w:rsidR="000A66D7" w:rsidRDefault="000A66D7">
            <w:pPr>
              <w:pStyle w:val="ListParagraph"/>
              <w:keepNext/>
              <w:numPr>
                <w:ilvl w:val="0"/>
                <w:numId w:val="37"/>
              </w:numPr>
              <w:outlineLvl w:val="2"/>
              <w:rPr>
                <w:rFonts w:cs="Arial"/>
                <w:iCs/>
              </w:rPr>
            </w:pPr>
            <w:r>
              <w:rPr>
                <w:rFonts w:cs="Arial"/>
                <w:iCs/>
              </w:rPr>
              <w:t>Be aware of the Advocacy stage which is a very important part of Public Health Action. We have included an example of Advocacy at a national level as Addendum 1, after the References. It is a submission from the Peoples’ Health Movement to the South African Human Rights Commission (2009).</w:t>
            </w:r>
          </w:p>
          <w:p w:rsidR="000A66D7" w:rsidRDefault="000A66D7">
            <w:pPr>
              <w:pStyle w:val="ListParagraph"/>
              <w:keepNext/>
              <w:numPr>
                <w:ilvl w:val="0"/>
                <w:numId w:val="37"/>
              </w:numPr>
              <w:outlineLvl w:val="2"/>
              <w:rPr>
                <w:rFonts w:cs="Arial"/>
                <w:iCs/>
              </w:rPr>
            </w:pPr>
            <w:r>
              <w:rPr>
                <w:rFonts w:cs="Arial"/>
                <w:iCs/>
              </w:rPr>
              <w:t xml:space="preserve">Remember to include the core of the process - capacity building strategies at all stages of your planning. </w:t>
            </w:r>
          </w:p>
          <w:p w:rsidR="000A66D7" w:rsidRDefault="000A66D7">
            <w:pPr>
              <w:pStyle w:val="ListParagraph"/>
              <w:keepNext/>
              <w:ind w:left="0"/>
              <w:outlineLvl w:val="2"/>
              <w:rPr>
                <w:rFonts w:cs="Arial"/>
                <w:iCs/>
              </w:rPr>
            </w:pPr>
          </w:p>
          <w:p w:rsidR="000A66D7" w:rsidRDefault="000A66D7">
            <w:pPr>
              <w:pStyle w:val="ListParagraph"/>
              <w:keepNext/>
              <w:ind w:left="0"/>
              <w:outlineLvl w:val="2"/>
              <w:rPr>
                <w:bCs/>
                <w:szCs w:val="28"/>
              </w:rPr>
            </w:pPr>
          </w:p>
        </w:tc>
      </w:tr>
    </w:tbl>
    <w:p w:rsidR="000A66D7" w:rsidRDefault="000A66D7">
      <w:pPr>
        <w:rPr>
          <w:b/>
          <w:bCs/>
          <w:sz w:val="20"/>
        </w:rPr>
      </w:pPr>
    </w:p>
    <w:p w:rsidR="000A66D7" w:rsidRDefault="000A66D7">
      <w:pPr>
        <w:pStyle w:val="Revision"/>
        <w:autoSpaceDE w:val="0"/>
        <w:autoSpaceDN w:val="0"/>
        <w:adjustRightInd w:val="0"/>
        <w:rPr>
          <w:rFonts w:ascii="Cambria" w:hAnsi="Cambria"/>
          <w:lang w:eastAsia="en-GB"/>
        </w:rPr>
      </w:pPr>
      <w:r>
        <w:rPr>
          <w:rFonts w:ascii="Cambria" w:hAnsi="Cambria"/>
          <w:lang w:eastAsia="en-GB"/>
        </w:rPr>
        <w:t>If you undertake this process with your students or as a student, we would like to see the results, which could be added to the case study as an Addendum. Please send feedback to:</w:t>
      </w:r>
    </w:p>
    <w:p w:rsidR="000A66D7" w:rsidRDefault="007A2E92">
      <w:pPr>
        <w:pStyle w:val="Revision"/>
        <w:autoSpaceDE w:val="0"/>
        <w:autoSpaceDN w:val="0"/>
        <w:adjustRightInd w:val="0"/>
        <w:rPr>
          <w:rFonts w:ascii="Cambria" w:hAnsi="Cambria"/>
          <w:lang w:eastAsia="en-GB"/>
        </w:rPr>
      </w:pPr>
      <w:hyperlink r:id="rId35" w:history="1">
        <w:r w:rsidR="000A66D7">
          <w:rPr>
            <w:rStyle w:val="Hyperlink"/>
            <w:rFonts w:ascii="Cambria" w:hAnsi="Cambria" w:cs="Calibri"/>
            <w:lang w:eastAsia="en-GB"/>
          </w:rPr>
          <w:t>soph-comm@uwc.ac.za</w:t>
        </w:r>
      </w:hyperlink>
      <w:r w:rsidR="000A66D7">
        <w:rPr>
          <w:rFonts w:ascii="Cambria" w:hAnsi="Cambria"/>
          <w:lang w:eastAsia="en-GB"/>
        </w:rPr>
        <w:t xml:space="preserve"> marked Open Education Resources.</w:t>
      </w:r>
    </w:p>
    <w:p w:rsidR="000A66D7" w:rsidRDefault="000A66D7">
      <w:pPr>
        <w:pStyle w:val="Revision"/>
        <w:autoSpaceDE w:val="0"/>
        <w:autoSpaceDN w:val="0"/>
        <w:adjustRightInd w:val="0"/>
        <w:rPr>
          <w:rFonts w:ascii="Cambria" w:hAnsi="Cambria"/>
          <w:lang w:eastAsia="en-GB"/>
        </w:rPr>
      </w:pPr>
    </w:p>
    <w:p w:rsidR="000A66D7" w:rsidRDefault="000A66D7">
      <w:pPr>
        <w:pStyle w:val="Revision"/>
        <w:autoSpaceDE w:val="0"/>
        <w:autoSpaceDN w:val="0"/>
        <w:adjustRightInd w:val="0"/>
        <w:rPr>
          <w:rFonts w:ascii="Cambria" w:hAnsi="Cambria"/>
          <w:lang w:eastAsia="en-GB"/>
        </w:rPr>
      </w:pPr>
      <w:r>
        <w:rPr>
          <w:rFonts w:ascii="Cambria" w:hAnsi="Cambria"/>
          <w:lang w:eastAsia="en-GB"/>
        </w:rPr>
        <w:t xml:space="preserve">There are many ways to use cases: if you redevelop or repurpose this case, we would also like to see the results. Please send feedback to: </w:t>
      </w:r>
      <w:hyperlink r:id="rId36" w:history="1">
        <w:r>
          <w:rPr>
            <w:rStyle w:val="Hyperlink"/>
            <w:rFonts w:ascii="Cambria" w:hAnsi="Cambria" w:cs="Calibri"/>
            <w:lang w:eastAsia="en-GB"/>
          </w:rPr>
          <w:t>soph-comm@uwc.ac.za</w:t>
        </w:r>
      </w:hyperlink>
      <w:r>
        <w:rPr>
          <w:rFonts w:ascii="Cambria" w:hAnsi="Cambria"/>
          <w:lang w:eastAsia="en-GB"/>
        </w:rPr>
        <w:t xml:space="preserve"> marked Open Education Resources.</w:t>
      </w:r>
    </w:p>
    <w:p w:rsidR="00E152B5" w:rsidRDefault="000A66D7">
      <w:pPr>
        <w:pStyle w:val="Heading1"/>
        <w:rPr>
          <w:rFonts w:ascii="Cambria" w:hAnsi="Cambria"/>
          <w:b w:val="0"/>
        </w:rPr>
      </w:pPr>
      <w:bookmarkStart w:id="11" w:name="_Toc302052661"/>
      <w:r>
        <w:rPr>
          <w:rFonts w:ascii="Cambria" w:hAnsi="Cambria"/>
          <w:b w:val="0"/>
        </w:rPr>
        <w:br w:type="page"/>
      </w:r>
    </w:p>
    <w:p w:rsidR="00E152B5" w:rsidRDefault="00E152B5">
      <w:pPr>
        <w:pStyle w:val="Heading1"/>
        <w:rPr>
          <w:rFonts w:ascii="Cambria" w:hAnsi="Cambria"/>
          <w:b w:val="0"/>
        </w:rPr>
      </w:pPr>
    </w:p>
    <w:p w:rsidR="000A66D7" w:rsidRDefault="000A66D7">
      <w:pPr>
        <w:pStyle w:val="Heading1"/>
        <w:rPr>
          <w:rFonts w:ascii="Calibri" w:hAnsi="Calibri"/>
          <w:highlight w:val="yellow"/>
        </w:rPr>
      </w:pPr>
      <w:r>
        <w:rPr>
          <w:rFonts w:ascii="Calibri" w:hAnsi="Calibri"/>
        </w:rPr>
        <w:t>Reference List and Additional Readings</w:t>
      </w:r>
      <w:bookmarkEnd w:id="11"/>
    </w:p>
    <w:p w:rsidR="000A66D7" w:rsidRDefault="000A66D7">
      <w:pPr>
        <w:pStyle w:val="Revision"/>
        <w:autoSpaceDE w:val="0"/>
        <w:autoSpaceDN w:val="0"/>
        <w:adjustRightInd w:val="0"/>
        <w:rPr>
          <w:rFonts w:ascii="Arial" w:hAnsi="Arial" w:cs="Arial"/>
        </w:rPr>
      </w:pPr>
    </w:p>
    <w:p w:rsidR="000A66D7" w:rsidRPr="005033D9" w:rsidRDefault="000A66D7">
      <w:pPr>
        <w:pStyle w:val="Revision"/>
        <w:autoSpaceDE w:val="0"/>
        <w:autoSpaceDN w:val="0"/>
        <w:adjustRightInd w:val="0"/>
        <w:rPr>
          <w:rFonts w:ascii="Cambria" w:hAnsi="Cambria" w:cs="Arial"/>
          <w:lang w:eastAsia="en-GB"/>
        </w:rPr>
      </w:pPr>
      <w:r w:rsidRPr="005033D9">
        <w:rPr>
          <w:rFonts w:ascii="Cambria" w:hAnsi="Cambria" w:cs="Arial"/>
        </w:rPr>
        <w:t xml:space="preserve">Bartram, J. (Jan 2008). </w:t>
      </w:r>
      <w:proofErr w:type="gramStart"/>
      <w:r w:rsidRPr="005033D9">
        <w:rPr>
          <w:rFonts w:ascii="Cambria" w:hAnsi="Cambria" w:cs="Arial"/>
        </w:rPr>
        <w:t>Flowing Away: Water and Public Health Opportunities.</w:t>
      </w:r>
      <w:proofErr w:type="gramEnd"/>
      <w:r w:rsidRPr="005033D9">
        <w:rPr>
          <w:rFonts w:ascii="Cambria" w:hAnsi="Cambria" w:cs="Arial"/>
        </w:rPr>
        <w:t xml:space="preserve"> </w:t>
      </w:r>
      <w:r w:rsidRPr="005033D9">
        <w:rPr>
          <w:rFonts w:ascii="Cambria" w:hAnsi="Cambria" w:cs="Arial"/>
          <w:i/>
          <w:iCs/>
        </w:rPr>
        <w:t>Bulletin of the World Health Organization</w:t>
      </w:r>
      <w:r w:rsidRPr="005033D9">
        <w:rPr>
          <w:rFonts w:ascii="Cambria" w:hAnsi="Cambria" w:cs="Arial"/>
        </w:rPr>
        <w:t xml:space="preserve">, 86(1): 2. [Online], Available: </w:t>
      </w:r>
      <w:hyperlink r:id="rId37" w:history="1">
        <w:r w:rsidRPr="005033D9">
          <w:rPr>
            <w:rStyle w:val="Hyperlink"/>
            <w:rFonts w:ascii="Cambria" w:hAnsi="Cambria" w:cs="Arial"/>
          </w:rPr>
          <w:t>http://www.who.int/bulletin/volumes/86/1/07-049619/en/</w:t>
        </w:r>
      </w:hyperlink>
      <w:r w:rsidRPr="005033D9">
        <w:rPr>
          <w:rFonts w:ascii="Cambria" w:hAnsi="Cambria" w:cs="Arial"/>
        </w:rPr>
        <w:t xml:space="preserve"> [Downloaded: 27.7.12].</w:t>
      </w:r>
    </w:p>
    <w:p w:rsidR="000A66D7" w:rsidRPr="005033D9" w:rsidRDefault="000A66D7">
      <w:pPr>
        <w:pStyle w:val="Heading1"/>
        <w:spacing w:after="0"/>
        <w:rPr>
          <w:rFonts w:ascii="Cambria" w:hAnsi="Cambria" w:cs="Arial"/>
          <w:color w:val="auto"/>
          <w:sz w:val="22"/>
          <w:szCs w:val="22"/>
        </w:rPr>
      </w:pPr>
    </w:p>
    <w:p w:rsidR="000A66D7" w:rsidRPr="005033D9" w:rsidRDefault="000A66D7">
      <w:pPr>
        <w:pStyle w:val="Heading1"/>
        <w:spacing w:after="0"/>
        <w:rPr>
          <w:rFonts w:ascii="Cambria" w:hAnsi="Cambria" w:cs="Arial"/>
          <w:b w:val="0"/>
          <w:bCs w:val="0"/>
          <w:color w:val="auto"/>
          <w:sz w:val="22"/>
          <w:szCs w:val="22"/>
        </w:rPr>
      </w:pPr>
      <w:proofErr w:type="gramStart"/>
      <w:r w:rsidRPr="005033D9">
        <w:rPr>
          <w:rFonts w:ascii="Cambria" w:hAnsi="Cambria" w:cs="Arial"/>
          <w:b w:val="0"/>
          <w:bCs w:val="0"/>
          <w:color w:val="auto"/>
          <w:sz w:val="22"/>
          <w:szCs w:val="22"/>
        </w:rPr>
        <w:t xml:space="preserve">Bradley, H., </w:t>
      </w:r>
      <w:proofErr w:type="spellStart"/>
      <w:r w:rsidRPr="005033D9">
        <w:rPr>
          <w:rFonts w:ascii="Cambria" w:hAnsi="Cambria" w:cs="Arial"/>
          <w:b w:val="0"/>
          <w:bCs w:val="0"/>
          <w:color w:val="auto"/>
          <w:sz w:val="22"/>
          <w:szCs w:val="22"/>
        </w:rPr>
        <w:t>Zarowsky</w:t>
      </w:r>
      <w:proofErr w:type="spellEnd"/>
      <w:r w:rsidRPr="005033D9">
        <w:rPr>
          <w:rFonts w:ascii="Cambria" w:hAnsi="Cambria" w:cs="Arial"/>
          <w:b w:val="0"/>
          <w:bCs w:val="0"/>
          <w:color w:val="auto"/>
          <w:sz w:val="22"/>
          <w:szCs w:val="22"/>
        </w:rPr>
        <w:t xml:space="preserve">, C. &amp; Alexander, L. &amp; </w:t>
      </w:r>
      <w:proofErr w:type="spellStart"/>
      <w:r w:rsidRPr="005033D9">
        <w:rPr>
          <w:rFonts w:ascii="Cambria" w:hAnsi="Cambria" w:cs="Arial"/>
          <w:b w:val="0"/>
          <w:bCs w:val="0"/>
          <w:color w:val="auto"/>
          <w:sz w:val="22"/>
          <w:szCs w:val="22"/>
        </w:rPr>
        <w:t>Mathole</w:t>
      </w:r>
      <w:proofErr w:type="spellEnd"/>
      <w:r w:rsidRPr="005033D9">
        <w:rPr>
          <w:rFonts w:ascii="Cambria" w:hAnsi="Cambria" w:cs="Arial"/>
          <w:b w:val="0"/>
          <w:bCs w:val="0"/>
          <w:color w:val="auto"/>
          <w:sz w:val="22"/>
          <w:szCs w:val="22"/>
        </w:rPr>
        <w:t>, T. (2010).</w:t>
      </w:r>
      <w:proofErr w:type="gramEnd"/>
      <w:r w:rsidRPr="005033D9">
        <w:rPr>
          <w:rFonts w:ascii="Cambria" w:hAnsi="Cambria" w:cs="Arial"/>
          <w:b w:val="0"/>
          <w:bCs w:val="0"/>
          <w:color w:val="auto"/>
          <w:sz w:val="22"/>
          <w:szCs w:val="22"/>
        </w:rPr>
        <w:t xml:space="preserve"> </w:t>
      </w:r>
      <w:proofErr w:type="gramStart"/>
      <w:r w:rsidRPr="005033D9">
        <w:rPr>
          <w:rFonts w:ascii="Cambria" w:hAnsi="Cambria" w:cs="Arial"/>
          <w:b w:val="0"/>
          <w:bCs w:val="0"/>
          <w:i/>
          <w:iCs/>
          <w:color w:val="auto"/>
          <w:sz w:val="22"/>
          <w:szCs w:val="22"/>
        </w:rPr>
        <w:t>Introducing Public Health: Its Basis and Scope.</w:t>
      </w:r>
      <w:proofErr w:type="gramEnd"/>
      <w:r w:rsidRPr="005033D9">
        <w:rPr>
          <w:rFonts w:ascii="Cambria" w:hAnsi="Cambria" w:cs="Arial"/>
          <w:b w:val="0"/>
          <w:bCs w:val="0"/>
          <w:color w:val="auto"/>
          <w:sz w:val="22"/>
          <w:szCs w:val="22"/>
        </w:rPr>
        <w:t xml:space="preserve"> </w:t>
      </w:r>
      <w:proofErr w:type="gramStart"/>
      <w:r w:rsidRPr="005033D9">
        <w:rPr>
          <w:rFonts w:ascii="Cambria" w:hAnsi="Cambria" w:cs="Arial"/>
          <w:b w:val="0"/>
          <w:bCs w:val="0"/>
          <w:color w:val="auto"/>
          <w:sz w:val="22"/>
          <w:szCs w:val="22"/>
        </w:rPr>
        <w:t>Module Guide for the Postgraduate Diploma in Public Health.</w:t>
      </w:r>
      <w:proofErr w:type="gramEnd"/>
      <w:r w:rsidRPr="005033D9">
        <w:rPr>
          <w:rFonts w:ascii="Cambria" w:hAnsi="Cambria" w:cs="Arial"/>
          <w:b w:val="0"/>
          <w:bCs w:val="0"/>
          <w:color w:val="auto"/>
          <w:sz w:val="22"/>
          <w:szCs w:val="22"/>
        </w:rPr>
        <w:t xml:space="preserve"> Cape Town:  School of Public Health, University of the Western Cape.</w:t>
      </w:r>
    </w:p>
    <w:p w:rsidR="000A66D7" w:rsidRPr="005033D9" w:rsidRDefault="000A66D7">
      <w:pPr>
        <w:pStyle w:val="Revision"/>
        <w:autoSpaceDE w:val="0"/>
        <w:autoSpaceDN w:val="0"/>
        <w:adjustRightInd w:val="0"/>
        <w:rPr>
          <w:rFonts w:ascii="Cambria" w:hAnsi="Cambria" w:cs="Arial"/>
          <w:lang w:eastAsia="en-GB"/>
        </w:rPr>
      </w:pPr>
    </w:p>
    <w:p w:rsidR="000A66D7" w:rsidRPr="005033D9" w:rsidRDefault="000A66D7">
      <w:pPr>
        <w:pStyle w:val="Revision"/>
        <w:autoSpaceDE w:val="0"/>
        <w:autoSpaceDN w:val="0"/>
        <w:adjustRightInd w:val="0"/>
        <w:rPr>
          <w:rFonts w:ascii="Cambria" w:hAnsi="Cambria" w:cs="Arial"/>
          <w:color w:val="000000"/>
        </w:rPr>
      </w:pPr>
      <w:proofErr w:type="spellStart"/>
      <w:proofErr w:type="gramStart"/>
      <w:r w:rsidRPr="005033D9">
        <w:rPr>
          <w:rFonts w:ascii="Cambria" w:hAnsi="Cambria" w:cs="Arial"/>
          <w:color w:val="000000"/>
        </w:rPr>
        <w:t>Cairncross</w:t>
      </w:r>
      <w:proofErr w:type="spellEnd"/>
      <w:r w:rsidRPr="005033D9">
        <w:rPr>
          <w:rFonts w:ascii="Cambria" w:hAnsi="Cambria" w:cs="Arial"/>
          <w:color w:val="000000"/>
        </w:rPr>
        <w:t xml:space="preserve">, S. &amp; </w:t>
      </w:r>
      <w:proofErr w:type="spellStart"/>
      <w:r w:rsidRPr="005033D9">
        <w:rPr>
          <w:rFonts w:ascii="Cambria" w:hAnsi="Cambria" w:cs="Arial"/>
          <w:color w:val="000000"/>
        </w:rPr>
        <w:t>Valdmanis</w:t>
      </w:r>
      <w:proofErr w:type="spellEnd"/>
      <w:r w:rsidRPr="005033D9">
        <w:rPr>
          <w:rFonts w:ascii="Cambria" w:hAnsi="Cambria" w:cs="Arial"/>
          <w:color w:val="000000"/>
        </w:rPr>
        <w:t>, J. (2006).</w:t>
      </w:r>
      <w:proofErr w:type="gramEnd"/>
      <w:r w:rsidRPr="005033D9">
        <w:rPr>
          <w:rFonts w:ascii="Cambria" w:hAnsi="Cambria" w:cs="Arial"/>
          <w:color w:val="000000"/>
        </w:rPr>
        <w:t xml:space="preserve"> </w:t>
      </w:r>
      <w:proofErr w:type="gramStart"/>
      <w:r w:rsidRPr="005033D9">
        <w:rPr>
          <w:rFonts w:ascii="Cambria" w:hAnsi="Cambria" w:cs="Arial"/>
          <w:color w:val="000000"/>
        </w:rPr>
        <w:t>Water Supply, Sanitation and Hygiene Promotion.</w:t>
      </w:r>
      <w:proofErr w:type="gramEnd"/>
      <w:r w:rsidRPr="005033D9">
        <w:rPr>
          <w:rFonts w:ascii="Cambria" w:hAnsi="Cambria" w:cs="Arial"/>
          <w:color w:val="000000"/>
        </w:rPr>
        <w:t xml:space="preserve"> In D. T. Jamison , J. G. </w:t>
      </w:r>
      <w:proofErr w:type="spellStart"/>
      <w:r w:rsidRPr="005033D9">
        <w:rPr>
          <w:rFonts w:ascii="Cambria" w:hAnsi="Cambria" w:cs="Arial"/>
          <w:color w:val="000000"/>
        </w:rPr>
        <w:t>Breman</w:t>
      </w:r>
      <w:proofErr w:type="spellEnd"/>
      <w:r w:rsidRPr="005033D9">
        <w:rPr>
          <w:rFonts w:ascii="Cambria" w:hAnsi="Cambria" w:cs="Arial"/>
          <w:color w:val="000000"/>
        </w:rPr>
        <w:t xml:space="preserve">, A. R. </w:t>
      </w:r>
      <w:proofErr w:type="spellStart"/>
      <w:r w:rsidRPr="005033D9">
        <w:rPr>
          <w:rFonts w:ascii="Cambria" w:hAnsi="Cambria" w:cs="Arial"/>
          <w:color w:val="000000"/>
        </w:rPr>
        <w:t>Measham</w:t>
      </w:r>
      <w:proofErr w:type="spellEnd"/>
      <w:r w:rsidRPr="005033D9">
        <w:rPr>
          <w:rFonts w:ascii="Cambria" w:hAnsi="Cambria" w:cs="Arial"/>
          <w:color w:val="000000"/>
        </w:rPr>
        <w:t xml:space="preserve">, G. </w:t>
      </w:r>
      <w:proofErr w:type="spellStart"/>
      <w:r w:rsidRPr="005033D9">
        <w:rPr>
          <w:rFonts w:ascii="Cambria" w:hAnsi="Cambria" w:cs="Arial"/>
          <w:color w:val="000000"/>
        </w:rPr>
        <w:t>Alleyne</w:t>
      </w:r>
      <w:proofErr w:type="spellEnd"/>
      <w:r w:rsidRPr="005033D9">
        <w:rPr>
          <w:rFonts w:ascii="Cambria" w:hAnsi="Cambria" w:cs="Arial"/>
          <w:color w:val="000000"/>
        </w:rPr>
        <w:t xml:space="preserve">, M. </w:t>
      </w:r>
      <w:proofErr w:type="spellStart"/>
      <w:r w:rsidRPr="005033D9">
        <w:rPr>
          <w:rFonts w:ascii="Cambria" w:hAnsi="Cambria" w:cs="Arial"/>
          <w:color w:val="000000"/>
        </w:rPr>
        <w:t>Claeson</w:t>
      </w:r>
      <w:proofErr w:type="spellEnd"/>
      <w:r w:rsidRPr="005033D9">
        <w:rPr>
          <w:rFonts w:ascii="Cambria" w:hAnsi="Cambria" w:cs="Arial"/>
          <w:color w:val="000000"/>
        </w:rPr>
        <w:t xml:space="preserve">, D. B. Evans, P. </w:t>
      </w:r>
      <w:proofErr w:type="spellStart"/>
      <w:r w:rsidRPr="005033D9">
        <w:rPr>
          <w:rFonts w:ascii="Cambria" w:hAnsi="Cambria" w:cs="Arial"/>
          <w:color w:val="000000"/>
        </w:rPr>
        <w:t>Jha</w:t>
      </w:r>
      <w:proofErr w:type="spellEnd"/>
      <w:r w:rsidRPr="005033D9">
        <w:rPr>
          <w:rFonts w:ascii="Cambria" w:hAnsi="Cambria" w:cs="Arial"/>
          <w:color w:val="000000"/>
        </w:rPr>
        <w:t>, A. Mills &amp; P. Musgrove (</w:t>
      </w:r>
      <w:proofErr w:type="spellStart"/>
      <w:r w:rsidRPr="005033D9">
        <w:rPr>
          <w:rFonts w:ascii="Cambria" w:hAnsi="Cambria" w:cs="Arial"/>
          <w:color w:val="000000"/>
        </w:rPr>
        <w:t>Eds</w:t>
      </w:r>
      <w:proofErr w:type="spellEnd"/>
      <w:r w:rsidRPr="005033D9">
        <w:rPr>
          <w:rFonts w:ascii="Cambria" w:hAnsi="Cambria" w:cs="Arial"/>
          <w:color w:val="000000"/>
        </w:rPr>
        <w:t xml:space="preserve">). </w:t>
      </w:r>
      <w:r w:rsidRPr="005033D9">
        <w:rPr>
          <w:rFonts w:ascii="Cambria" w:hAnsi="Cambria" w:cs="Arial"/>
          <w:i/>
          <w:iCs/>
          <w:color w:val="000000"/>
        </w:rPr>
        <w:t xml:space="preserve"> Disease Control Priorities in Developing Countries, Second Edition, </w:t>
      </w:r>
      <w:r w:rsidRPr="005033D9">
        <w:rPr>
          <w:rFonts w:ascii="Cambria" w:hAnsi="Cambria" w:cs="Arial"/>
          <w:color w:val="000000"/>
        </w:rPr>
        <w:t xml:space="preserve">Oxford University Press and </w:t>
      </w:r>
      <w:proofErr w:type="gramStart"/>
      <w:r w:rsidRPr="005033D9">
        <w:rPr>
          <w:rFonts w:ascii="Cambria" w:hAnsi="Cambria" w:cs="Arial"/>
          <w:color w:val="000000"/>
        </w:rPr>
        <w:t>The</w:t>
      </w:r>
      <w:proofErr w:type="gramEnd"/>
      <w:r w:rsidRPr="005033D9">
        <w:rPr>
          <w:rFonts w:ascii="Cambria" w:hAnsi="Cambria" w:cs="Arial"/>
          <w:color w:val="000000"/>
        </w:rPr>
        <w:t xml:space="preserve"> World Bank. [Online], Available: </w:t>
      </w:r>
      <w:hyperlink r:id="rId38" w:history="1">
        <w:r w:rsidRPr="005033D9">
          <w:rPr>
            <w:rStyle w:val="Hyperlink"/>
            <w:rFonts w:ascii="Cambria" w:hAnsi="Cambria" w:cs="Arial"/>
          </w:rPr>
          <w:t>http://www.dcp2.org/pubs/DCP</w:t>
        </w:r>
      </w:hyperlink>
      <w:r w:rsidRPr="005033D9">
        <w:rPr>
          <w:rFonts w:ascii="Cambria" w:hAnsi="Cambria" w:cs="Arial"/>
          <w:color w:val="000000"/>
        </w:rPr>
        <w:t xml:space="preserve"> [Downloaded 31.7.12].</w:t>
      </w:r>
    </w:p>
    <w:p w:rsidR="000A66D7" w:rsidRPr="005033D9" w:rsidRDefault="000A66D7">
      <w:pPr>
        <w:pStyle w:val="Revision"/>
        <w:autoSpaceDE w:val="0"/>
        <w:autoSpaceDN w:val="0"/>
        <w:adjustRightInd w:val="0"/>
        <w:rPr>
          <w:rFonts w:ascii="Cambria" w:hAnsi="Cambria" w:cs="Arial"/>
          <w:color w:val="000000"/>
        </w:rPr>
      </w:pPr>
      <w:r w:rsidRPr="005033D9">
        <w:rPr>
          <w:rFonts w:ascii="Cambria" w:hAnsi="Cambria" w:cs="Arial"/>
          <w:color w:val="000000"/>
        </w:rPr>
        <w:t xml:space="preserve"> </w:t>
      </w:r>
    </w:p>
    <w:p w:rsidR="000A66D7" w:rsidRPr="005033D9" w:rsidRDefault="000A66D7">
      <w:pPr>
        <w:rPr>
          <w:rFonts w:ascii="Cambria" w:hAnsi="Cambria"/>
        </w:rPr>
      </w:pPr>
      <w:proofErr w:type="gramStart"/>
      <w:r w:rsidRPr="005033D9">
        <w:rPr>
          <w:rFonts w:ascii="Cambria" w:hAnsi="Cambria"/>
        </w:rPr>
        <w:t>Chopra, M. &amp; McCoy, D. (2000).</w:t>
      </w:r>
      <w:proofErr w:type="gramEnd"/>
      <w:r w:rsidRPr="005033D9">
        <w:rPr>
          <w:rFonts w:ascii="Cambria" w:hAnsi="Cambria"/>
        </w:rPr>
        <w:t xml:space="preserve"> </w:t>
      </w:r>
      <w:r w:rsidRPr="005033D9">
        <w:rPr>
          <w:rFonts w:ascii="Cambria" w:hAnsi="Cambria"/>
          <w:i/>
        </w:rPr>
        <w:t xml:space="preserve">How to Conduct a Rapid Nutrition Situation Assessment, </w:t>
      </w:r>
      <w:proofErr w:type="gramStart"/>
      <w:r w:rsidRPr="005033D9">
        <w:rPr>
          <w:rFonts w:ascii="Cambria" w:hAnsi="Cambria"/>
          <w:i/>
        </w:rPr>
        <w:t>A</w:t>
      </w:r>
      <w:proofErr w:type="gramEnd"/>
      <w:r w:rsidRPr="005033D9">
        <w:rPr>
          <w:rFonts w:ascii="Cambria" w:hAnsi="Cambria"/>
          <w:i/>
        </w:rPr>
        <w:t xml:space="preserve"> Guide for Health Districts and Sub-districts in South Africa. </w:t>
      </w:r>
      <w:r w:rsidRPr="005033D9">
        <w:rPr>
          <w:rFonts w:ascii="Cambria" w:hAnsi="Cambria"/>
        </w:rPr>
        <w:t xml:space="preserve">Durban: Health Systems Trust. [Online], Available: </w:t>
      </w:r>
      <w:hyperlink r:id="rId39" w:history="1">
        <w:r w:rsidRPr="005033D9">
          <w:rPr>
            <w:rStyle w:val="Hyperlink"/>
            <w:rFonts w:ascii="Cambria" w:hAnsi="Cambria" w:cs="Calibri"/>
          </w:rPr>
          <w:t>http://www.hst.org.za/publications/396</w:t>
        </w:r>
      </w:hyperlink>
      <w:r w:rsidRPr="005033D9">
        <w:rPr>
          <w:rFonts w:ascii="Cambria" w:hAnsi="Cambria"/>
        </w:rPr>
        <w:t xml:space="preserve"> [Downloaded: 20.10.10].</w:t>
      </w:r>
    </w:p>
    <w:p w:rsidR="000A66D7" w:rsidRPr="005033D9" w:rsidRDefault="000A66D7">
      <w:pPr>
        <w:pStyle w:val="Revision"/>
        <w:autoSpaceDE w:val="0"/>
        <w:autoSpaceDN w:val="0"/>
        <w:adjustRightInd w:val="0"/>
        <w:rPr>
          <w:rFonts w:ascii="Cambria" w:hAnsi="Cambria" w:cs="Arial"/>
          <w:lang w:eastAsia="en-GB"/>
        </w:rPr>
      </w:pPr>
    </w:p>
    <w:p w:rsidR="000A66D7" w:rsidRPr="005033D9" w:rsidRDefault="000A66D7">
      <w:pPr>
        <w:pStyle w:val="Revision"/>
        <w:autoSpaceDE w:val="0"/>
        <w:autoSpaceDN w:val="0"/>
        <w:adjustRightInd w:val="0"/>
        <w:rPr>
          <w:rFonts w:ascii="Cambria" w:hAnsi="Cambria" w:cs="Arial"/>
          <w:lang w:eastAsia="en-GB"/>
        </w:rPr>
      </w:pPr>
      <w:proofErr w:type="gramStart"/>
      <w:r w:rsidRPr="005033D9">
        <w:rPr>
          <w:rFonts w:ascii="Cambria" w:hAnsi="Cambria" w:cs="Arial"/>
          <w:lang w:eastAsia="en-GB"/>
        </w:rPr>
        <w:t>Chopra, M. &amp; Sanders, D. (2005).</w:t>
      </w:r>
      <w:proofErr w:type="gramEnd"/>
      <w:r w:rsidRPr="005033D9">
        <w:rPr>
          <w:rFonts w:ascii="Cambria" w:hAnsi="Cambria" w:cs="Arial"/>
          <w:lang w:eastAsia="en-GB"/>
        </w:rPr>
        <w:t xml:space="preserve"> </w:t>
      </w:r>
      <w:proofErr w:type="gramStart"/>
      <w:r w:rsidRPr="005033D9">
        <w:rPr>
          <w:rFonts w:ascii="Cambria" w:hAnsi="Cambria" w:cs="Arial"/>
          <w:i/>
          <w:iCs/>
          <w:lang w:eastAsia="en-GB"/>
        </w:rPr>
        <w:t>Unpublished Model of the Public Health Implementation Cycle.</w:t>
      </w:r>
      <w:proofErr w:type="gramEnd"/>
      <w:r w:rsidRPr="005033D9">
        <w:rPr>
          <w:rFonts w:ascii="Cambria" w:hAnsi="Cambria" w:cs="Arial"/>
          <w:lang w:eastAsia="en-GB"/>
        </w:rPr>
        <w:t xml:space="preserve"> Cape Town: School of Public Health, University of the Western Cape. </w:t>
      </w:r>
    </w:p>
    <w:p w:rsidR="000A66D7" w:rsidRPr="005033D9" w:rsidRDefault="000A66D7">
      <w:pPr>
        <w:autoSpaceDE w:val="0"/>
        <w:autoSpaceDN w:val="0"/>
        <w:adjustRightInd w:val="0"/>
        <w:rPr>
          <w:rFonts w:ascii="Cambria" w:hAnsi="Cambria" w:cs="Arial"/>
          <w:lang w:val="en-US"/>
        </w:rPr>
      </w:pPr>
    </w:p>
    <w:p w:rsidR="000A66D7" w:rsidRPr="005033D9" w:rsidRDefault="000A66D7">
      <w:pPr>
        <w:autoSpaceDE w:val="0"/>
        <w:autoSpaceDN w:val="0"/>
        <w:adjustRightInd w:val="0"/>
        <w:rPr>
          <w:rFonts w:ascii="Cambria" w:hAnsi="Cambria"/>
          <w:color w:val="000000"/>
        </w:rPr>
      </w:pPr>
      <w:proofErr w:type="spellStart"/>
      <w:proofErr w:type="gramStart"/>
      <w:r w:rsidRPr="005033D9">
        <w:rPr>
          <w:rFonts w:ascii="Cambria" w:hAnsi="Cambria"/>
          <w:color w:val="000000"/>
        </w:rPr>
        <w:t>Fewtrell</w:t>
      </w:r>
      <w:proofErr w:type="spellEnd"/>
      <w:r w:rsidRPr="005033D9">
        <w:rPr>
          <w:rFonts w:ascii="Cambria" w:hAnsi="Cambria"/>
          <w:color w:val="000000"/>
        </w:rPr>
        <w:t xml:space="preserve">, L. &amp; </w:t>
      </w:r>
      <w:proofErr w:type="spellStart"/>
      <w:r w:rsidRPr="005033D9">
        <w:rPr>
          <w:rFonts w:ascii="Cambria" w:hAnsi="Cambria"/>
          <w:color w:val="000000"/>
        </w:rPr>
        <w:t>Colford</w:t>
      </w:r>
      <w:proofErr w:type="spellEnd"/>
      <w:r w:rsidRPr="005033D9">
        <w:rPr>
          <w:rFonts w:ascii="Cambria" w:hAnsi="Cambria"/>
          <w:color w:val="000000"/>
        </w:rPr>
        <w:t>, J. M. (2005).</w:t>
      </w:r>
      <w:proofErr w:type="gramEnd"/>
      <w:r w:rsidRPr="005033D9">
        <w:rPr>
          <w:rFonts w:ascii="Cambria" w:hAnsi="Cambria"/>
          <w:color w:val="000000"/>
        </w:rPr>
        <w:t xml:space="preserve"> Water, Sanitation and Hygiene in Developing Countries: Interventions and Diarrhoea – a Review. </w:t>
      </w:r>
      <w:r w:rsidRPr="005033D9">
        <w:rPr>
          <w:rFonts w:ascii="Cambria" w:hAnsi="Cambria"/>
          <w:i/>
          <w:iCs/>
          <w:color w:val="000000"/>
        </w:rPr>
        <w:t xml:space="preserve">Water </w:t>
      </w:r>
      <w:proofErr w:type="spellStart"/>
      <w:r w:rsidRPr="005033D9">
        <w:rPr>
          <w:rFonts w:ascii="Cambria" w:hAnsi="Cambria"/>
          <w:i/>
          <w:iCs/>
          <w:color w:val="000000"/>
        </w:rPr>
        <w:t>Sci</w:t>
      </w:r>
      <w:proofErr w:type="spellEnd"/>
      <w:r w:rsidRPr="005033D9">
        <w:rPr>
          <w:rFonts w:ascii="Cambria" w:hAnsi="Cambria"/>
          <w:i/>
          <w:iCs/>
          <w:color w:val="000000"/>
        </w:rPr>
        <w:t xml:space="preserve"> Technology, </w:t>
      </w:r>
      <w:r w:rsidRPr="005033D9">
        <w:rPr>
          <w:rFonts w:ascii="Cambria" w:hAnsi="Cambria"/>
          <w:color w:val="000000"/>
        </w:rPr>
        <w:t>52(8):133-142.</w:t>
      </w:r>
    </w:p>
    <w:p w:rsidR="000A66D7" w:rsidRPr="005033D9" w:rsidRDefault="000A66D7">
      <w:pPr>
        <w:autoSpaceDE w:val="0"/>
        <w:autoSpaceDN w:val="0"/>
        <w:adjustRightInd w:val="0"/>
        <w:rPr>
          <w:rFonts w:ascii="Cambria" w:hAnsi="Cambria"/>
          <w:color w:val="000000"/>
        </w:rPr>
      </w:pPr>
    </w:p>
    <w:p w:rsidR="000A66D7" w:rsidRPr="005033D9" w:rsidRDefault="000A66D7">
      <w:pPr>
        <w:autoSpaceDE w:val="0"/>
        <w:autoSpaceDN w:val="0"/>
        <w:adjustRightInd w:val="0"/>
        <w:rPr>
          <w:rFonts w:ascii="Cambria" w:hAnsi="Cambria" w:cs="Arial"/>
          <w:lang w:val="en-US"/>
        </w:rPr>
      </w:pPr>
      <w:proofErr w:type="spellStart"/>
      <w:proofErr w:type="gramStart"/>
      <w:r w:rsidRPr="005033D9">
        <w:rPr>
          <w:rFonts w:ascii="Cambria" w:hAnsi="Cambria" w:cs="Arial"/>
          <w:lang w:val="en-US"/>
        </w:rPr>
        <w:t>Guerrant</w:t>
      </w:r>
      <w:proofErr w:type="spellEnd"/>
      <w:r w:rsidRPr="005033D9">
        <w:rPr>
          <w:rFonts w:ascii="Cambria" w:hAnsi="Cambria" w:cs="Arial"/>
          <w:lang w:val="en-US"/>
        </w:rPr>
        <w:t xml:space="preserve">, R. L., Van Gilder, T., Steiner, T. S., </w:t>
      </w:r>
      <w:proofErr w:type="spellStart"/>
      <w:r w:rsidRPr="005033D9">
        <w:rPr>
          <w:rFonts w:ascii="Cambria" w:hAnsi="Cambria" w:cs="Arial"/>
          <w:lang w:val="en-US"/>
        </w:rPr>
        <w:t>Thielman</w:t>
      </w:r>
      <w:proofErr w:type="spellEnd"/>
      <w:r w:rsidRPr="005033D9">
        <w:rPr>
          <w:rFonts w:ascii="Cambria" w:hAnsi="Cambria" w:cs="Arial"/>
          <w:lang w:val="en-US"/>
        </w:rPr>
        <w:t xml:space="preserve">, N. M., </w:t>
      </w:r>
      <w:proofErr w:type="spellStart"/>
      <w:r w:rsidRPr="005033D9">
        <w:rPr>
          <w:rFonts w:ascii="Cambria" w:hAnsi="Cambria" w:cs="Arial"/>
          <w:lang w:val="en-US"/>
        </w:rPr>
        <w:t>Slutsker</w:t>
      </w:r>
      <w:proofErr w:type="spellEnd"/>
      <w:r w:rsidRPr="005033D9">
        <w:rPr>
          <w:rFonts w:ascii="Cambria" w:hAnsi="Cambria" w:cs="Arial"/>
          <w:lang w:val="en-US"/>
        </w:rPr>
        <w:t xml:space="preserve">, L., </w:t>
      </w:r>
      <w:proofErr w:type="spellStart"/>
      <w:r w:rsidRPr="005033D9">
        <w:rPr>
          <w:rFonts w:ascii="Cambria" w:hAnsi="Cambria" w:cs="Arial"/>
          <w:lang w:val="en-US"/>
        </w:rPr>
        <w:t>Tauxe</w:t>
      </w:r>
      <w:proofErr w:type="spellEnd"/>
      <w:r w:rsidRPr="005033D9">
        <w:rPr>
          <w:rFonts w:ascii="Cambria" w:hAnsi="Cambria" w:cs="Arial"/>
          <w:lang w:val="en-US"/>
        </w:rPr>
        <w:t xml:space="preserve">, R. V. Hennessy, T., Griffin, P. M., DuPont, H., Sack, R. B., </w:t>
      </w:r>
      <w:proofErr w:type="spellStart"/>
      <w:r w:rsidRPr="005033D9">
        <w:rPr>
          <w:rFonts w:ascii="Cambria" w:hAnsi="Cambria" w:cs="Arial"/>
          <w:lang w:val="en-US"/>
        </w:rPr>
        <w:t>Tarr</w:t>
      </w:r>
      <w:proofErr w:type="spellEnd"/>
      <w:r w:rsidRPr="005033D9">
        <w:rPr>
          <w:rFonts w:ascii="Cambria" w:hAnsi="Cambria" w:cs="Arial"/>
          <w:lang w:val="en-US"/>
        </w:rPr>
        <w:t xml:space="preserve">, P., Neill, M., </w:t>
      </w:r>
      <w:proofErr w:type="spellStart"/>
      <w:r w:rsidRPr="005033D9">
        <w:rPr>
          <w:rFonts w:ascii="Cambria" w:hAnsi="Cambria" w:cs="Arial"/>
          <w:lang w:val="en-US"/>
        </w:rPr>
        <w:t>Nachamkin</w:t>
      </w:r>
      <w:proofErr w:type="spellEnd"/>
      <w:r w:rsidRPr="005033D9">
        <w:rPr>
          <w:rFonts w:ascii="Cambria" w:hAnsi="Cambria" w:cs="Arial"/>
          <w:lang w:val="en-US"/>
        </w:rPr>
        <w:t>, I.</w:t>
      </w:r>
      <w:proofErr w:type="gramEnd"/>
      <w:r w:rsidRPr="005033D9">
        <w:rPr>
          <w:rFonts w:ascii="Cambria" w:hAnsi="Cambria" w:cs="Arial"/>
          <w:lang w:val="en-US"/>
        </w:rPr>
        <w:t xml:space="preserve">  </w:t>
      </w:r>
      <w:proofErr w:type="gramStart"/>
      <w:r w:rsidRPr="005033D9">
        <w:rPr>
          <w:rFonts w:ascii="Cambria" w:hAnsi="Cambria" w:cs="Arial"/>
          <w:lang w:val="en-US"/>
        </w:rPr>
        <w:t xml:space="preserve">L., </w:t>
      </w:r>
      <w:proofErr w:type="spellStart"/>
      <w:r w:rsidRPr="005033D9">
        <w:rPr>
          <w:rFonts w:ascii="Cambria" w:hAnsi="Cambria" w:cs="Arial"/>
          <w:lang w:val="en-US"/>
        </w:rPr>
        <w:t>Reller</w:t>
      </w:r>
      <w:proofErr w:type="spellEnd"/>
      <w:r w:rsidRPr="005033D9">
        <w:rPr>
          <w:rFonts w:ascii="Cambria" w:hAnsi="Cambria" w:cs="Arial"/>
          <w:lang w:val="en-US"/>
        </w:rPr>
        <w:t xml:space="preserve">, B., </w:t>
      </w:r>
      <w:proofErr w:type="spellStart"/>
      <w:r w:rsidRPr="005033D9">
        <w:rPr>
          <w:rFonts w:ascii="Cambria" w:hAnsi="Cambria" w:cs="Arial"/>
          <w:lang w:val="en-US"/>
        </w:rPr>
        <w:t>Osterholm</w:t>
      </w:r>
      <w:proofErr w:type="spellEnd"/>
      <w:r w:rsidRPr="005033D9">
        <w:rPr>
          <w:rFonts w:ascii="Cambria" w:hAnsi="Cambria" w:cs="Arial"/>
          <w:lang w:val="en-US"/>
        </w:rPr>
        <w:t xml:space="preserve">, M. T., </w:t>
      </w:r>
      <w:proofErr w:type="spellStart"/>
      <w:r w:rsidRPr="005033D9">
        <w:rPr>
          <w:rFonts w:ascii="Cambria" w:hAnsi="Cambria" w:cs="Arial"/>
          <w:lang w:val="en-US"/>
        </w:rPr>
        <w:t>Bennish</w:t>
      </w:r>
      <w:proofErr w:type="spellEnd"/>
      <w:r w:rsidRPr="005033D9">
        <w:rPr>
          <w:rFonts w:ascii="Cambria" w:hAnsi="Cambria" w:cs="Arial"/>
          <w:lang w:val="en-US"/>
        </w:rPr>
        <w:t>, M. L. and Pickering, L. K. (2001).</w:t>
      </w:r>
      <w:proofErr w:type="gramEnd"/>
      <w:r w:rsidRPr="005033D9">
        <w:rPr>
          <w:rFonts w:ascii="Cambria" w:hAnsi="Cambria" w:cs="Arial"/>
          <w:lang w:val="en-US"/>
        </w:rPr>
        <w:t xml:space="preserve"> </w:t>
      </w:r>
      <w:r w:rsidRPr="005033D9">
        <w:rPr>
          <w:rFonts w:ascii="Cambria" w:hAnsi="Cambria" w:cs="Arial"/>
          <w:i/>
          <w:iCs/>
          <w:lang w:val="en-US"/>
        </w:rPr>
        <w:t>Practice Guidelines for the Management of Infectious Diarrhea.</w:t>
      </w:r>
      <w:r w:rsidRPr="005033D9">
        <w:rPr>
          <w:rFonts w:ascii="Cambria" w:hAnsi="Cambria"/>
          <w:lang w:val="en-US"/>
        </w:rPr>
        <w:t xml:space="preserve"> </w:t>
      </w:r>
      <w:proofErr w:type="gramStart"/>
      <w:r w:rsidRPr="005033D9">
        <w:rPr>
          <w:rFonts w:ascii="Cambria" w:hAnsi="Cambria" w:cs="Arial"/>
          <w:i/>
          <w:iCs/>
          <w:lang w:val="en-US"/>
        </w:rPr>
        <w:t>IDSA Guidelines</w:t>
      </w:r>
      <w:r w:rsidRPr="005033D9">
        <w:rPr>
          <w:rFonts w:ascii="Cambria" w:hAnsi="Cambria" w:cs="Arial"/>
          <w:lang w:val="en-US"/>
        </w:rPr>
        <w:t>, 32.</w:t>
      </w:r>
      <w:proofErr w:type="gramEnd"/>
      <w:r w:rsidRPr="005033D9">
        <w:rPr>
          <w:rFonts w:ascii="Cambria" w:hAnsi="Cambria" w:cs="Arial"/>
          <w:lang w:val="en-US"/>
        </w:rPr>
        <w:t xml:space="preserve"> [Online], </w:t>
      </w:r>
    </w:p>
    <w:p w:rsidR="000A66D7" w:rsidRPr="005033D9" w:rsidRDefault="000A66D7">
      <w:pPr>
        <w:autoSpaceDE w:val="0"/>
        <w:autoSpaceDN w:val="0"/>
        <w:adjustRightInd w:val="0"/>
        <w:rPr>
          <w:rFonts w:ascii="Cambria" w:hAnsi="Cambria" w:cs="Arial"/>
          <w:lang w:val="en-US"/>
        </w:rPr>
      </w:pPr>
      <w:r w:rsidRPr="005033D9">
        <w:rPr>
          <w:rFonts w:ascii="Cambria" w:hAnsi="Cambria" w:cs="Arial"/>
          <w:lang w:val="en-US"/>
        </w:rPr>
        <w:t xml:space="preserve">Available: </w:t>
      </w:r>
      <w:hyperlink r:id="rId40" w:history="1">
        <w:r w:rsidRPr="005033D9">
          <w:rPr>
            <w:rStyle w:val="Hyperlink"/>
            <w:rFonts w:ascii="Cambria" w:hAnsi="Cambria" w:cs="Arial"/>
            <w:lang w:val="en-US"/>
          </w:rPr>
          <w:t>http://www.uphs.upenn.edu/bugdrug/antibiotic_manual/idsadiarrhea.pdf</w:t>
        </w:r>
      </w:hyperlink>
      <w:r w:rsidRPr="005033D9">
        <w:rPr>
          <w:rFonts w:ascii="Cambria" w:hAnsi="Cambria" w:cs="Arial"/>
          <w:lang w:val="en-US"/>
        </w:rPr>
        <w:t xml:space="preserve"> [Downloaded: 27.7.12].</w:t>
      </w:r>
    </w:p>
    <w:p w:rsidR="000A66D7" w:rsidRPr="005033D9" w:rsidRDefault="000A66D7">
      <w:pPr>
        <w:rPr>
          <w:rFonts w:ascii="Cambria" w:hAnsi="Cambria"/>
          <w:color w:val="231F20"/>
        </w:rPr>
      </w:pPr>
    </w:p>
    <w:p w:rsidR="000A66D7" w:rsidRPr="005033D9" w:rsidRDefault="000A66D7">
      <w:pPr>
        <w:rPr>
          <w:rFonts w:ascii="Cambria" w:hAnsi="Cambria"/>
          <w:color w:val="000000"/>
        </w:rPr>
      </w:pPr>
      <w:r w:rsidRPr="005033D9">
        <w:rPr>
          <w:rFonts w:ascii="Cambria" w:hAnsi="Cambria"/>
          <w:color w:val="231F20"/>
        </w:rPr>
        <w:t xml:space="preserve">Humphrey, J. H. (2009). Child </w:t>
      </w:r>
      <w:proofErr w:type="spellStart"/>
      <w:r w:rsidRPr="005033D9">
        <w:rPr>
          <w:rFonts w:ascii="Cambria" w:hAnsi="Cambria"/>
          <w:color w:val="231F20"/>
        </w:rPr>
        <w:t>Undernutrition</w:t>
      </w:r>
      <w:proofErr w:type="spellEnd"/>
      <w:r w:rsidRPr="005033D9">
        <w:rPr>
          <w:rFonts w:ascii="Cambria" w:hAnsi="Cambria"/>
          <w:color w:val="231F20"/>
        </w:rPr>
        <w:t xml:space="preserve">, Tropical </w:t>
      </w:r>
      <w:proofErr w:type="spellStart"/>
      <w:r w:rsidRPr="005033D9">
        <w:rPr>
          <w:rFonts w:ascii="Cambria" w:hAnsi="Cambria"/>
          <w:color w:val="231F20"/>
        </w:rPr>
        <w:t>Enteropathy</w:t>
      </w:r>
      <w:proofErr w:type="spellEnd"/>
      <w:r w:rsidRPr="005033D9">
        <w:rPr>
          <w:rFonts w:ascii="Cambria" w:hAnsi="Cambria"/>
          <w:color w:val="231F20"/>
        </w:rPr>
        <w:t>, Toilets and</w:t>
      </w:r>
    </w:p>
    <w:p w:rsidR="000A66D7" w:rsidRPr="005033D9" w:rsidRDefault="000A66D7">
      <w:pPr>
        <w:pStyle w:val="NormalWeb"/>
        <w:spacing w:before="0" w:beforeAutospacing="0" w:after="0" w:afterAutospacing="0"/>
        <w:ind w:left="-632" w:firstLine="632"/>
        <w:rPr>
          <w:rFonts w:ascii="Cambria" w:hAnsi="Cambria"/>
          <w:sz w:val="22"/>
          <w:szCs w:val="22"/>
        </w:rPr>
      </w:pPr>
      <w:proofErr w:type="spellStart"/>
      <w:proofErr w:type="gramStart"/>
      <w:r w:rsidRPr="005033D9">
        <w:rPr>
          <w:rFonts w:ascii="Cambria" w:hAnsi="Cambria"/>
          <w:color w:val="231F20"/>
          <w:sz w:val="22"/>
          <w:szCs w:val="22"/>
        </w:rPr>
        <w:t>Handwashing</w:t>
      </w:r>
      <w:proofErr w:type="spellEnd"/>
      <w:r w:rsidRPr="005033D9">
        <w:rPr>
          <w:rFonts w:ascii="Cambria" w:hAnsi="Cambria"/>
          <w:color w:val="231F20"/>
          <w:sz w:val="22"/>
          <w:szCs w:val="22"/>
        </w:rPr>
        <w:t>.</w:t>
      </w:r>
      <w:proofErr w:type="gramEnd"/>
      <w:r w:rsidRPr="005033D9">
        <w:rPr>
          <w:rFonts w:ascii="Cambria" w:hAnsi="Cambria"/>
          <w:color w:val="000000"/>
          <w:sz w:val="22"/>
          <w:szCs w:val="22"/>
        </w:rPr>
        <w:t xml:space="preserve"> </w:t>
      </w:r>
      <w:r w:rsidRPr="005033D9">
        <w:rPr>
          <w:rFonts w:ascii="Cambria" w:hAnsi="Cambria"/>
          <w:i/>
          <w:iCs/>
          <w:color w:val="000000"/>
          <w:sz w:val="22"/>
          <w:szCs w:val="22"/>
        </w:rPr>
        <w:t>Lancet,</w:t>
      </w:r>
      <w:r w:rsidRPr="005033D9">
        <w:rPr>
          <w:rFonts w:ascii="Cambria" w:hAnsi="Cambria"/>
          <w:color w:val="000000"/>
          <w:sz w:val="22"/>
          <w:szCs w:val="22"/>
        </w:rPr>
        <w:t xml:space="preserve"> 374: 1032–1035.</w:t>
      </w:r>
    </w:p>
    <w:p w:rsidR="000A66D7" w:rsidRPr="005033D9" w:rsidRDefault="000A66D7">
      <w:pPr>
        <w:rPr>
          <w:rFonts w:ascii="Cambria" w:hAnsi="Cambria"/>
        </w:rPr>
      </w:pPr>
    </w:p>
    <w:p w:rsidR="000A66D7" w:rsidRPr="005033D9" w:rsidRDefault="000A66D7">
      <w:pPr>
        <w:rPr>
          <w:rFonts w:ascii="Cambria" w:hAnsi="Cambria"/>
        </w:rPr>
      </w:pPr>
      <w:proofErr w:type="spellStart"/>
      <w:r w:rsidRPr="005033D9">
        <w:rPr>
          <w:rFonts w:ascii="Cambria" w:hAnsi="Cambria"/>
        </w:rPr>
        <w:t>Jonsson</w:t>
      </w:r>
      <w:proofErr w:type="spellEnd"/>
      <w:r w:rsidRPr="005033D9">
        <w:rPr>
          <w:rFonts w:ascii="Cambria" w:hAnsi="Cambria"/>
        </w:rPr>
        <w:t xml:space="preserve">, U. </w:t>
      </w:r>
      <w:r w:rsidRPr="005033D9">
        <w:rPr>
          <w:rFonts w:ascii="Cambria" w:hAnsi="Cambria"/>
          <w:i/>
        </w:rPr>
        <w:t>et al.</w:t>
      </w:r>
      <w:r w:rsidRPr="005033D9">
        <w:rPr>
          <w:rFonts w:ascii="Cambria" w:hAnsi="Cambria"/>
        </w:rPr>
        <w:t xml:space="preserve"> (1992). </w:t>
      </w:r>
      <w:proofErr w:type="gramStart"/>
      <w:r w:rsidRPr="005033D9">
        <w:rPr>
          <w:rFonts w:ascii="Cambria" w:hAnsi="Cambria"/>
          <w:i/>
          <w:iCs/>
        </w:rPr>
        <w:t>The UNICEF Nutrition Strategy.</w:t>
      </w:r>
      <w:proofErr w:type="gramEnd"/>
      <w:r w:rsidRPr="005033D9">
        <w:rPr>
          <w:rFonts w:ascii="Cambria" w:hAnsi="Cambria"/>
          <w:i/>
          <w:iCs/>
        </w:rPr>
        <w:t xml:space="preserve"> </w:t>
      </w:r>
      <w:proofErr w:type="gramStart"/>
      <w:r w:rsidRPr="005033D9">
        <w:rPr>
          <w:rFonts w:ascii="Cambria" w:hAnsi="Cambria"/>
        </w:rPr>
        <w:t>UNICEF.</w:t>
      </w:r>
      <w:proofErr w:type="gramEnd"/>
      <w:r w:rsidRPr="005033D9">
        <w:rPr>
          <w:rFonts w:ascii="Cambria" w:hAnsi="Cambria"/>
        </w:rPr>
        <w:t xml:space="preserve"> </w:t>
      </w:r>
      <w:proofErr w:type="gramStart"/>
      <w:r w:rsidRPr="005033D9">
        <w:rPr>
          <w:rFonts w:ascii="Cambria" w:hAnsi="Cambria"/>
        </w:rPr>
        <w:t>5-33.</w:t>
      </w:r>
      <w:proofErr w:type="gramEnd"/>
    </w:p>
    <w:p w:rsidR="000A66D7" w:rsidRPr="005033D9" w:rsidRDefault="000A66D7">
      <w:pPr>
        <w:spacing w:before="100" w:beforeAutospacing="1" w:after="100" w:afterAutospacing="1"/>
        <w:rPr>
          <w:rFonts w:ascii="Cambria" w:hAnsi="Cambria"/>
          <w:color w:val="000000"/>
        </w:rPr>
      </w:pPr>
      <w:proofErr w:type="gramStart"/>
      <w:r w:rsidRPr="005033D9">
        <w:rPr>
          <w:rFonts w:ascii="Cambria" w:hAnsi="Cambria" w:cs="Arial"/>
          <w:color w:val="000000"/>
        </w:rPr>
        <w:t>Overseas Development Institute.</w:t>
      </w:r>
      <w:proofErr w:type="gramEnd"/>
      <w:r w:rsidRPr="005033D9">
        <w:rPr>
          <w:rFonts w:ascii="Cambria" w:hAnsi="Cambria" w:cs="Arial"/>
          <w:color w:val="000000"/>
        </w:rPr>
        <w:t xml:space="preserve"> (2006). </w:t>
      </w:r>
      <w:r w:rsidRPr="005033D9">
        <w:rPr>
          <w:rFonts w:ascii="Cambria" w:hAnsi="Cambria" w:cs="Arial"/>
          <w:i/>
          <w:iCs/>
          <w:color w:val="000000"/>
        </w:rPr>
        <w:t>Sanitation and Hygiene: Knocking on new doors, Briefing Paper no. 13</w:t>
      </w:r>
      <w:proofErr w:type="gramStart"/>
      <w:r w:rsidRPr="005033D9">
        <w:rPr>
          <w:rFonts w:ascii="Cambria" w:hAnsi="Cambria" w:cs="Arial"/>
          <w:i/>
          <w:iCs/>
          <w:color w:val="000000"/>
        </w:rPr>
        <w:t>.</w:t>
      </w:r>
      <w:r w:rsidRPr="005033D9">
        <w:rPr>
          <w:rFonts w:ascii="Cambria" w:hAnsi="Cambria" w:cs="Arial"/>
          <w:color w:val="000000"/>
        </w:rPr>
        <w:t>{</w:t>
      </w:r>
      <w:proofErr w:type="gramEnd"/>
      <w:r w:rsidRPr="005033D9">
        <w:rPr>
          <w:rFonts w:ascii="Cambria" w:hAnsi="Cambria" w:cs="Arial"/>
          <w:color w:val="000000"/>
        </w:rPr>
        <w:t xml:space="preserve">Online], Available: </w:t>
      </w:r>
      <w:hyperlink r:id="rId41" w:history="1">
        <w:r w:rsidRPr="005033D9">
          <w:rPr>
            <w:rStyle w:val="Hyperlink"/>
            <w:rFonts w:ascii="Cambria" w:hAnsi="Cambria" w:cs="Arial"/>
          </w:rPr>
          <w:t>http://www.odi.org.uk/resources/details.asp?id=48&amp;title=sanitation-hygiene-knocking-doors</w:t>
        </w:r>
      </w:hyperlink>
      <w:r w:rsidRPr="005033D9">
        <w:rPr>
          <w:rFonts w:ascii="Cambria" w:hAnsi="Cambria"/>
          <w:color w:val="000000"/>
        </w:rPr>
        <w:t xml:space="preserve">. </w:t>
      </w:r>
      <w:proofErr w:type="gramStart"/>
      <w:r w:rsidRPr="005033D9">
        <w:rPr>
          <w:rFonts w:ascii="Cambria" w:hAnsi="Cambria"/>
          <w:color w:val="000000"/>
        </w:rPr>
        <w:t>[Downloaded: 31.7.12].</w:t>
      </w:r>
      <w:proofErr w:type="gramEnd"/>
    </w:p>
    <w:p w:rsidR="000A66D7" w:rsidRPr="005033D9" w:rsidRDefault="000A66D7">
      <w:pPr>
        <w:rPr>
          <w:rFonts w:ascii="Cambria" w:hAnsi="Cambria" w:cs="Arial"/>
          <w:i/>
          <w:iCs/>
        </w:rPr>
      </w:pPr>
      <w:proofErr w:type="gramStart"/>
      <w:r w:rsidRPr="005033D9">
        <w:rPr>
          <w:rFonts w:ascii="Cambria" w:hAnsi="Cambria" w:cs="Arial"/>
        </w:rPr>
        <w:t>PATH.</w:t>
      </w:r>
      <w:proofErr w:type="gramEnd"/>
      <w:r w:rsidRPr="005033D9">
        <w:rPr>
          <w:rFonts w:ascii="Cambria" w:hAnsi="Cambria" w:cs="Arial"/>
        </w:rPr>
        <w:t xml:space="preserve"> (July 2011). </w:t>
      </w:r>
      <w:r w:rsidRPr="005033D9">
        <w:rPr>
          <w:rFonts w:ascii="Cambria" w:hAnsi="Cambria" w:cs="Arial"/>
          <w:i/>
          <w:iCs/>
        </w:rPr>
        <w:t xml:space="preserve">Fact Sheet: An Integrated Approach to Confronting Diarrheal Disease. </w:t>
      </w:r>
    </w:p>
    <w:p w:rsidR="000A66D7" w:rsidRPr="005033D9" w:rsidRDefault="000A66D7">
      <w:pPr>
        <w:rPr>
          <w:rFonts w:ascii="Cambria" w:hAnsi="Cambria" w:cs="Arial"/>
        </w:rPr>
      </w:pPr>
      <w:r w:rsidRPr="005033D9">
        <w:rPr>
          <w:rFonts w:ascii="Cambria" w:hAnsi="Cambria" w:cs="Arial"/>
        </w:rPr>
        <w:t xml:space="preserve">Washington: PATH: A Catalyst for Global Health. [Online], Available: </w:t>
      </w:r>
    </w:p>
    <w:p w:rsidR="000A66D7" w:rsidRPr="005033D9" w:rsidRDefault="007A2E92">
      <w:pPr>
        <w:rPr>
          <w:rFonts w:ascii="Cambria" w:hAnsi="Cambria" w:cs="Arial"/>
        </w:rPr>
      </w:pPr>
      <w:hyperlink r:id="rId42" w:history="1">
        <w:r w:rsidR="000A66D7" w:rsidRPr="005033D9">
          <w:rPr>
            <w:rStyle w:val="Hyperlink"/>
            <w:rFonts w:ascii="Cambria" w:hAnsi="Cambria" w:cs="Arial"/>
            <w:color w:val="auto"/>
          </w:rPr>
          <w:t>http://www.path.org/publications/files/VAC_dd_approach_fs.pdf</w:t>
        </w:r>
      </w:hyperlink>
      <w:r w:rsidR="000A66D7" w:rsidRPr="005033D9">
        <w:rPr>
          <w:rFonts w:ascii="Cambria" w:hAnsi="Cambria" w:cs="Arial"/>
        </w:rPr>
        <w:t xml:space="preserve"> [Downloaded: 30. 07.12].</w:t>
      </w:r>
    </w:p>
    <w:p w:rsidR="000A66D7" w:rsidRPr="005033D9" w:rsidRDefault="000A66D7">
      <w:pPr>
        <w:rPr>
          <w:rFonts w:ascii="Cambria" w:hAnsi="Cambria" w:cs="Arial"/>
        </w:rPr>
      </w:pPr>
    </w:p>
    <w:p w:rsidR="000A66D7" w:rsidRPr="005033D9" w:rsidRDefault="000A66D7">
      <w:pPr>
        <w:rPr>
          <w:rFonts w:ascii="Cambria" w:hAnsi="Cambria" w:cs="Arial"/>
        </w:rPr>
      </w:pPr>
    </w:p>
    <w:p w:rsidR="000A66D7" w:rsidRPr="005033D9" w:rsidRDefault="000A66D7">
      <w:pPr>
        <w:rPr>
          <w:rFonts w:ascii="Cambria" w:hAnsi="Cambria" w:cs="Arial"/>
        </w:rPr>
      </w:pPr>
      <w:proofErr w:type="gramStart"/>
      <w:r w:rsidRPr="005033D9">
        <w:rPr>
          <w:rFonts w:ascii="Cambria" w:hAnsi="Cambria" w:cs="Arial"/>
        </w:rPr>
        <w:t>Pelletier, D. L. (2002).</w:t>
      </w:r>
      <w:proofErr w:type="gramEnd"/>
      <w:r w:rsidRPr="005033D9">
        <w:rPr>
          <w:rFonts w:ascii="Cambria" w:hAnsi="Cambria" w:cs="Arial"/>
        </w:rPr>
        <w:t xml:space="preserve"> Toward a Common Understanding of Malnutrition: Assessing the </w:t>
      </w:r>
    </w:p>
    <w:p w:rsidR="000A66D7" w:rsidRPr="005033D9" w:rsidRDefault="000A66D7">
      <w:pPr>
        <w:rPr>
          <w:rFonts w:ascii="Cambria" w:hAnsi="Cambria" w:cs="Arial"/>
          <w:i/>
        </w:rPr>
      </w:pPr>
      <w:proofErr w:type="gramStart"/>
      <w:r w:rsidRPr="005033D9">
        <w:rPr>
          <w:rFonts w:ascii="Cambria" w:hAnsi="Cambria" w:cs="Arial"/>
        </w:rPr>
        <w:t>Contributions of the UNICEF Framework.</w:t>
      </w:r>
      <w:proofErr w:type="gramEnd"/>
      <w:r w:rsidRPr="005033D9">
        <w:rPr>
          <w:rFonts w:ascii="Cambria" w:hAnsi="Cambria" w:cs="Arial"/>
        </w:rPr>
        <w:t xml:space="preserve"> </w:t>
      </w:r>
      <w:proofErr w:type="gramStart"/>
      <w:r w:rsidRPr="005033D9">
        <w:rPr>
          <w:rFonts w:ascii="Cambria" w:hAnsi="Cambria" w:cs="Arial"/>
          <w:i/>
        </w:rPr>
        <w:t>World Bank/UNICEF</w:t>
      </w:r>
      <w:r w:rsidRPr="005033D9">
        <w:rPr>
          <w:rFonts w:ascii="Cambria" w:hAnsi="Cambria" w:cs="Arial"/>
        </w:rPr>
        <w:t>.</w:t>
      </w:r>
      <w:proofErr w:type="gramEnd"/>
      <w:r w:rsidRPr="005033D9">
        <w:rPr>
          <w:rFonts w:ascii="Cambria" w:hAnsi="Cambria" w:cs="Arial"/>
        </w:rPr>
        <w:t xml:space="preserve"> [Online], Available: </w:t>
      </w:r>
      <w:hyperlink r:id="rId43" w:tgtFrame="_blank" w:history="1">
        <w:r w:rsidRPr="005033D9">
          <w:rPr>
            <w:rStyle w:val="Hyperlink"/>
            <w:rFonts w:ascii="Cambria" w:hAnsi="Cambria" w:cs="Arial"/>
            <w:color w:val="auto"/>
          </w:rPr>
          <w:t>http://www.tulane.edu/~internut/publications/WB_Bckgrd_Pprs/Narrative/NarrativeonePelletierfinal.doc</w:t>
        </w:r>
      </w:hyperlink>
      <w:r w:rsidRPr="005033D9">
        <w:rPr>
          <w:rStyle w:val="HTMLCite"/>
          <w:rFonts w:ascii="Cambria" w:hAnsi="Cambria" w:cs="Arial"/>
          <w:i/>
        </w:rPr>
        <w:t xml:space="preserve"> </w:t>
      </w:r>
      <w:r w:rsidRPr="005033D9">
        <w:rPr>
          <w:rFonts w:ascii="Cambria" w:hAnsi="Cambria" w:cs="Arial"/>
        </w:rPr>
        <w:t>[Downloaded 20.1010].</w:t>
      </w:r>
      <w:r w:rsidRPr="005033D9">
        <w:rPr>
          <w:rFonts w:ascii="Cambria" w:hAnsi="Cambria" w:cs="Arial"/>
          <w:i/>
        </w:rPr>
        <w:t xml:space="preserve"> </w:t>
      </w:r>
    </w:p>
    <w:p w:rsidR="000A66D7" w:rsidRPr="005033D9" w:rsidRDefault="000A66D7">
      <w:pPr>
        <w:rPr>
          <w:rFonts w:ascii="Cambria" w:hAnsi="Cambria" w:cs="Arial"/>
          <w:i/>
        </w:rPr>
      </w:pPr>
    </w:p>
    <w:p w:rsidR="000A66D7" w:rsidRPr="005033D9" w:rsidRDefault="000A66D7">
      <w:pPr>
        <w:rPr>
          <w:rFonts w:ascii="Cambria" w:hAnsi="Cambria" w:cs="Arial"/>
        </w:rPr>
      </w:pPr>
      <w:proofErr w:type="gramStart"/>
      <w:r w:rsidRPr="005033D9">
        <w:rPr>
          <w:rFonts w:ascii="Cambria" w:hAnsi="Cambria" w:cs="Arial"/>
        </w:rPr>
        <w:t>Reynolds, L. &amp; Sanders, D. on behalf of the PHM.</w:t>
      </w:r>
      <w:proofErr w:type="gramEnd"/>
      <w:r w:rsidRPr="005033D9">
        <w:rPr>
          <w:rFonts w:ascii="Cambria" w:hAnsi="Cambria" w:cs="Arial"/>
        </w:rPr>
        <w:t xml:space="preserve"> </w:t>
      </w:r>
      <w:proofErr w:type="gramStart"/>
      <w:r w:rsidRPr="005033D9">
        <w:rPr>
          <w:rFonts w:ascii="Cambria" w:hAnsi="Cambria" w:cs="Arial"/>
        </w:rPr>
        <w:t xml:space="preserve">(2008). </w:t>
      </w:r>
      <w:r w:rsidRPr="005033D9">
        <w:rPr>
          <w:rFonts w:ascii="Cambria" w:hAnsi="Cambria" w:cs="Arial"/>
          <w:i/>
        </w:rPr>
        <w:t>Submission to the SA Human Rights Commission.</w:t>
      </w:r>
      <w:proofErr w:type="gramEnd"/>
      <w:r w:rsidRPr="005033D9">
        <w:rPr>
          <w:rFonts w:ascii="Cambria" w:hAnsi="Cambria" w:cs="Arial"/>
          <w:i/>
        </w:rPr>
        <w:t xml:space="preserve"> </w:t>
      </w:r>
      <w:r w:rsidRPr="005033D9">
        <w:rPr>
          <w:rFonts w:ascii="Cambria" w:hAnsi="Cambria" w:cs="Arial"/>
        </w:rPr>
        <w:t>Cape Town, RSA: PHM.</w:t>
      </w:r>
    </w:p>
    <w:p w:rsidR="000A66D7" w:rsidRPr="005033D9" w:rsidRDefault="000A66D7">
      <w:pPr>
        <w:rPr>
          <w:rFonts w:ascii="Cambria" w:hAnsi="Cambria" w:cs="Arial"/>
        </w:rPr>
      </w:pPr>
    </w:p>
    <w:p w:rsidR="000A66D7" w:rsidRPr="005033D9" w:rsidRDefault="000A66D7">
      <w:pPr>
        <w:rPr>
          <w:rFonts w:ascii="Cambria" w:hAnsi="Cambria" w:cs="Arial"/>
        </w:rPr>
      </w:pPr>
      <w:proofErr w:type="gramStart"/>
      <w:r w:rsidRPr="005033D9">
        <w:rPr>
          <w:rFonts w:ascii="Cambria" w:hAnsi="Cambria" w:cs="Arial"/>
        </w:rPr>
        <w:t xml:space="preserve">Sanders, D., Reynolds, L., Westwood, T., </w:t>
      </w:r>
      <w:proofErr w:type="spellStart"/>
      <w:r w:rsidRPr="005033D9">
        <w:rPr>
          <w:rFonts w:ascii="Cambria" w:hAnsi="Cambria" w:cs="Arial"/>
        </w:rPr>
        <w:t>Eley</w:t>
      </w:r>
      <w:proofErr w:type="spellEnd"/>
      <w:r w:rsidRPr="005033D9">
        <w:rPr>
          <w:rFonts w:ascii="Cambria" w:hAnsi="Cambria" w:cs="Arial"/>
        </w:rPr>
        <w:t>, B., Kroon, M., Zar, H. &amp; Davies, M.</w:t>
      </w:r>
      <w:proofErr w:type="gramEnd"/>
      <w:r w:rsidRPr="005033D9">
        <w:rPr>
          <w:rFonts w:ascii="Cambria" w:hAnsi="Cambria" w:cs="Arial"/>
        </w:rPr>
        <w:t xml:space="preserve"> </w:t>
      </w:r>
    </w:p>
    <w:p w:rsidR="000A66D7" w:rsidRPr="005033D9" w:rsidRDefault="000A66D7">
      <w:pPr>
        <w:rPr>
          <w:rFonts w:ascii="Cambria" w:hAnsi="Cambria" w:cs="Arial"/>
          <w:i/>
        </w:rPr>
      </w:pPr>
      <w:proofErr w:type="gramStart"/>
      <w:r w:rsidRPr="005033D9">
        <w:rPr>
          <w:rFonts w:ascii="Cambria" w:hAnsi="Cambria" w:cs="Arial"/>
        </w:rPr>
        <w:t>with</w:t>
      </w:r>
      <w:proofErr w:type="gramEnd"/>
      <w:r w:rsidRPr="005033D9">
        <w:rPr>
          <w:rFonts w:ascii="Cambria" w:hAnsi="Cambria" w:cs="Arial"/>
        </w:rPr>
        <w:t xml:space="preserve"> </w:t>
      </w:r>
      <w:proofErr w:type="spellStart"/>
      <w:r w:rsidRPr="005033D9">
        <w:rPr>
          <w:rFonts w:ascii="Cambria" w:hAnsi="Cambria" w:cs="Arial"/>
        </w:rPr>
        <w:t>Nongena</w:t>
      </w:r>
      <w:proofErr w:type="spellEnd"/>
      <w:r w:rsidRPr="005033D9">
        <w:rPr>
          <w:rFonts w:ascii="Cambria" w:hAnsi="Cambria" w:cs="Arial"/>
        </w:rPr>
        <w:t xml:space="preserve">, P. &amp; van </w:t>
      </w:r>
      <w:proofErr w:type="spellStart"/>
      <w:r w:rsidRPr="005033D9">
        <w:rPr>
          <w:rFonts w:ascii="Cambria" w:hAnsi="Cambria" w:cs="Arial"/>
        </w:rPr>
        <w:t>Heerden</w:t>
      </w:r>
      <w:proofErr w:type="spellEnd"/>
      <w:r w:rsidRPr="005033D9">
        <w:rPr>
          <w:rFonts w:ascii="Cambria" w:hAnsi="Cambria" w:cs="Arial"/>
        </w:rPr>
        <w:t>, T</w:t>
      </w:r>
      <w:r w:rsidRPr="005033D9">
        <w:rPr>
          <w:rFonts w:ascii="Cambria" w:hAnsi="Cambria" w:cs="Arial"/>
          <w:i/>
        </w:rPr>
        <w:t xml:space="preserve">. </w:t>
      </w:r>
      <w:r w:rsidRPr="005033D9">
        <w:rPr>
          <w:rFonts w:ascii="Cambria" w:hAnsi="Cambria" w:cs="Arial"/>
        </w:rPr>
        <w:t xml:space="preserve">(2007). </w:t>
      </w:r>
      <w:r w:rsidRPr="005033D9">
        <w:rPr>
          <w:rFonts w:ascii="Cambria" w:hAnsi="Cambria" w:cs="Arial"/>
          <w:i/>
        </w:rPr>
        <w:t xml:space="preserve">Decreasing the Burden of Childhood </w:t>
      </w:r>
    </w:p>
    <w:p w:rsidR="000A66D7" w:rsidRPr="005033D9" w:rsidRDefault="000A66D7">
      <w:pPr>
        <w:rPr>
          <w:rFonts w:ascii="Cambria" w:hAnsi="Cambria" w:cs="Arial"/>
        </w:rPr>
      </w:pPr>
      <w:proofErr w:type="gramStart"/>
      <w:r w:rsidRPr="005033D9">
        <w:rPr>
          <w:rFonts w:ascii="Cambria" w:hAnsi="Cambria" w:cs="Arial"/>
          <w:i/>
        </w:rPr>
        <w:t>Disease Final Report.</w:t>
      </w:r>
      <w:proofErr w:type="gramEnd"/>
      <w:r w:rsidRPr="005033D9">
        <w:rPr>
          <w:rFonts w:ascii="Cambria" w:hAnsi="Cambria" w:cs="Arial"/>
          <w:i/>
        </w:rPr>
        <w:t xml:space="preserve"> </w:t>
      </w:r>
      <w:proofErr w:type="spellStart"/>
      <w:r w:rsidRPr="005033D9">
        <w:rPr>
          <w:rFonts w:ascii="Cambria" w:hAnsi="Cambria" w:cs="Arial"/>
        </w:rPr>
        <w:t>DoH</w:t>
      </w:r>
      <w:proofErr w:type="spellEnd"/>
      <w:r w:rsidRPr="005033D9">
        <w:rPr>
          <w:rFonts w:ascii="Cambria" w:hAnsi="Cambria" w:cs="Arial"/>
        </w:rPr>
        <w:t xml:space="preserve"> Western Cape: Western Cape Childhood Diseases Workgroup. </w:t>
      </w:r>
    </w:p>
    <w:p w:rsidR="000A66D7" w:rsidRPr="005033D9" w:rsidRDefault="000A66D7">
      <w:pPr>
        <w:rPr>
          <w:rFonts w:ascii="Cambria" w:hAnsi="Cambria" w:cs="Arial"/>
        </w:rPr>
      </w:pPr>
      <w:r w:rsidRPr="005033D9">
        <w:rPr>
          <w:rFonts w:ascii="Cambria" w:hAnsi="Cambria" w:cs="Arial"/>
        </w:rPr>
        <w:t xml:space="preserve">[Online], Available: </w:t>
      </w:r>
      <w:hyperlink r:id="rId44" w:history="1">
        <w:r w:rsidRPr="005033D9">
          <w:rPr>
            <w:rStyle w:val="Hyperlink"/>
            <w:rFonts w:ascii="Cambria" w:hAnsi="Cambria" w:cs="Arial"/>
            <w:color w:val="auto"/>
          </w:rPr>
          <w:t>http://www.capegateway.gov.za/Text/2007/6/cd_volume_7_childhood_diseases_overview.pdf</w:t>
        </w:r>
      </w:hyperlink>
      <w:r w:rsidRPr="005033D9">
        <w:rPr>
          <w:rFonts w:ascii="Cambria" w:hAnsi="Cambria" w:cs="Arial"/>
        </w:rPr>
        <w:t xml:space="preserve"> [Downloaded: 20.10.10].</w:t>
      </w:r>
    </w:p>
    <w:p w:rsidR="000A66D7" w:rsidRPr="005033D9" w:rsidRDefault="000A66D7">
      <w:pPr>
        <w:rPr>
          <w:rFonts w:ascii="Cambria" w:hAnsi="Cambria" w:cs="Arial"/>
        </w:rPr>
      </w:pPr>
    </w:p>
    <w:p w:rsidR="000A66D7" w:rsidRPr="005033D9" w:rsidRDefault="000A66D7">
      <w:pPr>
        <w:pStyle w:val="text-large"/>
        <w:spacing w:before="0" w:beforeAutospacing="0" w:after="0" w:afterAutospacing="0"/>
        <w:rPr>
          <w:rFonts w:ascii="Cambria" w:hAnsi="Cambria"/>
          <w:sz w:val="22"/>
          <w:szCs w:val="22"/>
        </w:rPr>
      </w:pPr>
      <w:r w:rsidRPr="005033D9">
        <w:rPr>
          <w:rFonts w:ascii="Cambria" w:hAnsi="Cambria" w:cs="Arial"/>
          <w:sz w:val="22"/>
          <w:szCs w:val="22"/>
        </w:rPr>
        <w:t xml:space="preserve">Scott, B. (2006). </w:t>
      </w:r>
      <w:proofErr w:type="gramStart"/>
      <w:r w:rsidRPr="005033D9">
        <w:rPr>
          <w:rFonts w:ascii="Cambria" w:hAnsi="Cambria" w:cs="Arial"/>
          <w:sz w:val="22"/>
          <w:szCs w:val="22"/>
        </w:rPr>
        <w:t>Health Impacts of Improved Household Sanitation.</w:t>
      </w:r>
      <w:proofErr w:type="gramEnd"/>
      <w:r w:rsidRPr="005033D9">
        <w:rPr>
          <w:rFonts w:ascii="Cambria" w:hAnsi="Cambria" w:cs="Arial"/>
          <w:sz w:val="22"/>
          <w:szCs w:val="22"/>
        </w:rPr>
        <w:t xml:space="preserve"> Well Factsheet. [Online], Available: </w:t>
      </w:r>
      <w:hyperlink r:id="rId45" w:history="1">
        <w:r w:rsidRPr="005033D9">
          <w:rPr>
            <w:rStyle w:val="Hyperlink"/>
            <w:rFonts w:ascii="Cambria" w:hAnsi="Cambria" w:cs="Arial"/>
            <w:sz w:val="22"/>
            <w:szCs w:val="22"/>
          </w:rPr>
          <w:t>http://www.lboro.ac.uk/well/resources/fact-sheets/fact-sheets-htm/Household%20Sanitation.htm</w:t>
        </w:r>
      </w:hyperlink>
      <w:r w:rsidRPr="005033D9">
        <w:rPr>
          <w:rFonts w:ascii="Cambria" w:hAnsi="Cambria" w:cs="Arial"/>
          <w:sz w:val="22"/>
          <w:szCs w:val="22"/>
        </w:rPr>
        <w:t xml:space="preserve"> [Downloaded: 20.7.12].</w:t>
      </w:r>
    </w:p>
    <w:p w:rsidR="000A66D7" w:rsidRPr="005033D9" w:rsidRDefault="000A66D7">
      <w:pPr>
        <w:pStyle w:val="NormalWeb"/>
        <w:spacing w:before="0" w:beforeAutospacing="0" w:after="0" w:afterAutospacing="0"/>
        <w:rPr>
          <w:rFonts w:ascii="Cambria" w:hAnsi="Cambria" w:cs="Arial"/>
          <w:sz w:val="22"/>
          <w:szCs w:val="22"/>
        </w:rPr>
      </w:pPr>
    </w:p>
    <w:p w:rsidR="000A66D7" w:rsidRPr="005033D9" w:rsidRDefault="000A66D7">
      <w:pPr>
        <w:pStyle w:val="NormalWeb"/>
        <w:spacing w:before="0" w:beforeAutospacing="0" w:after="0" w:afterAutospacing="0"/>
        <w:rPr>
          <w:rFonts w:ascii="Cambria" w:hAnsi="Cambria"/>
          <w:color w:val="000000"/>
          <w:sz w:val="22"/>
          <w:szCs w:val="22"/>
        </w:rPr>
      </w:pPr>
      <w:r w:rsidRPr="005033D9">
        <w:rPr>
          <w:rFonts w:ascii="Cambria" w:hAnsi="Cambria"/>
          <w:color w:val="000000"/>
          <w:sz w:val="22"/>
          <w:szCs w:val="22"/>
        </w:rPr>
        <w:t xml:space="preserve">Scott, B., Curtis, V., </w:t>
      </w:r>
      <w:proofErr w:type="spellStart"/>
      <w:r w:rsidRPr="005033D9">
        <w:rPr>
          <w:rFonts w:ascii="Cambria" w:hAnsi="Cambria"/>
          <w:color w:val="000000"/>
          <w:sz w:val="22"/>
          <w:szCs w:val="22"/>
        </w:rPr>
        <w:t>Rabie</w:t>
      </w:r>
      <w:proofErr w:type="spellEnd"/>
      <w:r w:rsidRPr="005033D9">
        <w:rPr>
          <w:rFonts w:ascii="Cambria" w:hAnsi="Cambria"/>
          <w:color w:val="000000"/>
          <w:sz w:val="22"/>
          <w:szCs w:val="22"/>
        </w:rPr>
        <w:t xml:space="preserve">, T. &amp; </w:t>
      </w:r>
      <w:proofErr w:type="spellStart"/>
      <w:r w:rsidRPr="005033D9">
        <w:rPr>
          <w:rFonts w:ascii="Cambria" w:hAnsi="Cambria"/>
          <w:color w:val="000000"/>
          <w:sz w:val="22"/>
          <w:szCs w:val="22"/>
        </w:rPr>
        <w:t>Garbrah-Aidoo</w:t>
      </w:r>
      <w:proofErr w:type="spellEnd"/>
      <w:r w:rsidRPr="005033D9">
        <w:rPr>
          <w:rFonts w:ascii="Cambria" w:hAnsi="Cambria"/>
          <w:color w:val="000000"/>
          <w:sz w:val="22"/>
          <w:szCs w:val="22"/>
        </w:rPr>
        <w:t xml:space="preserve">, N. (2007). Health in our hands, but not in our heads: Understanding Hygiene Motivation in Ghana. </w:t>
      </w:r>
      <w:r w:rsidRPr="005033D9">
        <w:rPr>
          <w:rFonts w:ascii="Cambria" w:hAnsi="Cambria"/>
          <w:i/>
          <w:iCs/>
          <w:color w:val="000000"/>
          <w:sz w:val="22"/>
          <w:szCs w:val="22"/>
        </w:rPr>
        <w:t xml:space="preserve">Health Policy and Planning, </w:t>
      </w:r>
      <w:r w:rsidRPr="005033D9">
        <w:rPr>
          <w:rFonts w:ascii="Cambria" w:hAnsi="Cambria"/>
          <w:color w:val="000000"/>
          <w:sz w:val="22"/>
          <w:szCs w:val="22"/>
        </w:rPr>
        <w:t>22: 225–233.</w:t>
      </w:r>
    </w:p>
    <w:p w:rsidR="000A66D7" w:rsidRPr="005033D9" w:rsidRDefault="000A66D7">
      <w:pPr>
        <w:pStyle w:val="NormalWeb"/>
        <w:spacing w:before="0" w:beforeAutospacing="0" w:after="0" w:afterAutospacing="0"/>
        <w:rPr>
          <w:rFonts w:ascii="Cambria" w:hAnsi="Cambria"/>
          <w:color w:val="000000"/>
          <w:sz w:val="22"/>
          <w:szCs w:val="22"/>
        </w:rPr>
      </w:pPr>
      <w:r w:rsidRPr="005033D9">
        <w:rPr>
          <w:rFonts w:ascii="Cambria" w:hAnsi="Cambria"/>
          <w:color w:val="000000"/>
          <w:sz w:val="22"/>
          <w:szCs w:val="22"/>
        </w:rPr>
        <w:t xml:space="preserve"> </w:t>
      </w:r>
    </w:p>
    <w:p w:rsidR="000A66D7" w:rsidRPr="005033D9" w:rsidRDefault="000A66D7">
      <w:pPr>
        <w:autoSpaceDE w:val="0"/>
        <w:autoSpaceDN w:val="0"/>
        <w:adjustRightInd w:val="0"/>
        <w:rPr>
          <w:rFonts w:ascii="Cambria" w:hAnsi="Cambria"/>
        </w:rPr>
      </w:pPr>
      <w:proofErr w:type="gramStart"/>
      <w:r w:rsidRPr="005033D9">
        <w:rPr>
          <w:rFonts w:ascii="Cambria" w:hAnsi="Cambria"/>
          <w:lang w:val="en-US"/>
        </w:rPr>
        <w:t>UNICEF.</w:t>
      </w:r>
      <w:proofErr w:type="gramEnd"/>
      <w:r w:rsidRPr="005033D9">
        <w:rPr>
          <w:rFonts w:ascii="Cambria" w:hAnsi="Cambria"/>
          <w:lang w:val="en-US"/>
        </w:rPr>
        <w:t xml:space="preserve"> </w:t>
      </w:r>
      <w:proofErr w:type="gramStart"/>
      <w:r w:rsidRPr="005033D9">
        <w:rPr>
          <w:rFonts w:ascii="Cambria" w:hAnsi="Cambria"/>
          <w:lang w:val="en-US"/>
        </w:rPr>
        <w:t xml:space="preserve">(1990). </w:t>
      </w:r>
      <w:r w:rsidRPr="005033D9">
        <w:rPr>
          <w:rFonts w:ascii="Cambria" w:hAnsi="Cambria"/>
          <w:i/>
          <w:iCs/>
          <w:lang w:val="en-US"/>
        </w:rPr>
        <w:t>Strategy for Improved Nutrition of Children and Women in Developing Countries.</w:t>
      </w:r>
      <w:proofErr w:type="gramEnd"/>
      <w:r w:rsidRPr="005033D9">
        <w:rPr>
          <w:rFonts w:ascii="Cambria" w:hAnsi="Cambria"/>
          <w:lang w:val="en-US"/>
        </w:rPr>
        <w:t xml:space="preserve"> [Online], Available: </w:t>
      </w:r>
      <w:r w:rsidRPr="005033D9">
        <w:rPr>
          <w:rFonts w:ascii="Cambria" w:hAnsi="Cambria"/>
        </w:rPr>
        <w:t xml:space="preserve"> </w:t>
      </w:r>
      <w:hyperlink r:id="rId46" w:history="1">
        <w:r w:rsidRPr="005033D9">
          <w:rPr>
            <w:rStyle w:val="Hyperlink"/>
            <w:rFonts w:ascii="Cambria" w:hAnsi="Cambria"/>
          </w:rPr>
          <w:t>http://www.ceecis.org/iodine/01_global/01_pl/01_01_other_1992_unicef.pdf</w:t>
        </w:r>
      </w:hyperlink>
      <w:r w:rsidRPr="005033D9">
        <w:rPr>
          <w:rFonts w:ascii="Cambria" w:hAnsi="Cambria"/>
        </w:rPr>
        <w:t xml:space="preserve"> [Downloaded: 20.7.12].</w:t>
      </w:r>
    </w:p>
    <w:p w:rsidR="000A66D7" w:rsidRPr="005033D9" w:rsidRDefault="000A66D7">
      <w:pPr>
        <w:pStyle w:val="NormalWeb"/>
        <w:spacing w:before="0" w:beforeAutospacing="0" w:after="0" w:afterAutospacing="0"/>
        <w:rPr>
          <w:rFonts w:ascii="Cambria" w:hAnsi="Cambria"/>
          <w:sz w:val="22"/>
          <w:szCs w:val="22"/>
        </w:rPr>
      </w:pPr>
    </w:p>
    <w:p w:rsidR="000A66D7" w:rsidRPr="005033D9" w:rsidRDefault="000A66D7">
      <w:pPr>
        <w:pStyle w:val="NormalWeb"/>
        <w:spacing w:before="0" w:beforeAutospacing="0" w:after="0" w:afterAutospacing="0"/>
        <w:rPr>
          <w:rFonts w:ascii="Cambria" w:hAnsi="Cambria" w:cs="Arial"/>
          <w:sz w:val="22"/>
          <w:szCs w:val="22"/>
        </w:rPr>
      </w:pPr>
      <w:proofErr w:type="gramStart"/>
      <w:r w:rsidRPr="005033D9">
        <w:rPr>
          <w:rFonts w:ascii="Cambria" w:hAnsi="Cambria" w:cs="Arial"/>
          <w:sz w:val="22"/>
          <w:szCs w:val="22"/>
        </w:rPr>
        <w:t>UNICEF.</w:t>
      </w:r>
      <w:proofErr w:type="gramEnd"/>
      <w:r w:rsidRPr="005033D9">
        <w:rPr>
          <w:rFonts w:ascii="Cambria" w:hAnsi="Cambria" w:cs="Arial"/>
          <w:i/>
          <w:iCs/>
          <w:sz w:val="22"/>
          <w:szCs w:val="22"/>
        </w:rPr>
        <w:t xml:space="preserve"> </w:t>
      </w:r>
      <w:r w:rsidRPr="005033D9">
        <w:rPr>
          <w:rStyle w:val="pagesubhead"/>
          <w:rFonts w:ascii="Cambria" w:hAnsi="Cambria" w:cs="Arial"/>
          <w:i/>
          <w:iCs/>
          <w:sz w:val="22"/>
          <w:szCs w:val="22"/>
        </w:rPr>
        <w:t xml:space="preserve">Acute </w:t>
      </w:r>
      <w:proofErr w:type="spellStart"/>
      <w:r w:rsidRPr="005033D9">
        <w:rPr>
          <w:rStyle w:val="pagesubhead"/>
          <w:rFonts w:ascii="Cambria" w:hAnsi="Cambria" w:cs="Arial"/>
          <w:i/>
          <w:iCs/>
          <w:sz w:val="22"/>
          <w:szCs w:val="22"/>
        </w:rPr>
        <w:t>Diarrhea</w:t>
      </w:r>
      <w:proofErr w:type="spellEnd"/>
      <w:r w:rsidRPr="005033D9">
        <w:rPr>
          <w:rStyle w:val="pagesubhead"/>
          <w:rFonts w:ascii="Cambria" w:hAnsi="Cambria" w:cs="Arial"/>
          <w:i/>
          <w:iCs/>
          <w:sz w:val="22"/>
          <w:szCs w:val="22"/>
        </w:rPr>
        <w:t xml:space="preserve"> Still a Major Cause of Child Death. </w:t>
      </w:r>
      <w:r w:rsidRPr="005033D9">
        <w:rPr>
          <w:rFonts w:ascii="Cambria" w:hAnsi="Cambria" w:cs="Arial"/>
          <w:sz w:val="22"/>
          <w:szCs w:val="22"/>
        </w:rPr>
        <w:t xml:space="preserve">[Online], Available: </w:t>
      </w:r>
      <w:hyperlink r:id="rId47" w:history="1">
        <w:r w:rsidRPr="005033D9">
          <w:rPr>
            <w:rStyle w:val="Hyperlink"/>
            <w:rFonts w:ascii="Cambria" w:hAnsi="Cambria" w:cs="Arial"/>
            <w:i/>
            <w:iCs/>
            <w:sz w:val="22"/>
            <w:szCs w:val="22"/>
          </w:rPr>
          <w:t>http://www.unicef.org/health/index_43834.html</w:t>
        </w:r>
      </w:hyperlink>
      <w:r w:rsidRPr="005033D9">
        <w:rPr>
          <w:rFonts w:ascii="Cambria" w:hAnsi="Cambria" w:cs="Arial"/>
          <w:sz w:val="22"/>
          <w:szCs w:val="22"/>
        </w:rPr>
        <w:t xml:space="preserve"> Downloaded: 20.6.12].</w:t>
      </w:r>
    </w:p>
    <w:p w:rsidR="000A66D7" w:rsidRPr="005033D9" w:rsidRDefault="000A66D7">
      <w:pPr>
        <w:rPr>
          <w:rFonts w:ascii="Cambria" w:hAnsi="Cambria" w:cs="Arial"/>
        </w:rPr>
      </w:pPr>
    </w:p>
    <w:p w:rsidR="000A66D7" w:rsidRPr="005033D9" w:rsidRDefault="000A66D7">
      <w:pPr>
        <w:pStyle w:val="NormalWeb"/>
        <w:spacing w:before="0" w:beforeAutospacing="0" w:after="0" w:afterAutospacing="0"/>
        <w:rPr>
          <w:rFonts w:ascii="Cambria" w:hAnsi="Cambria" w:cs="Arial"/>
          <w:sz w:val="22"/>
          <w:szCs w:val="22"/>
        </w:rPr>
      </w:pPr>
      <w:proofErr w:type="gramStart"/>
      <w:r w:rsidRPr="005033D9">
        <w:rPr>
          <w:rFonts w:ascii="Cambria" w:hAnsi="Cambria" w:cs="Arial"/>
          <w:sz w:val="22"/>
          <w:szCs w:val="22"/>
        </w:rPr>
        <w:t>UNICEF.</w:t>
      </w:r>
      <w:proofErr w:type="gramEnd"/>
      <w:r w:rsidRPr="005033D9">
        <w:rPr>
          <w:rFonts w:ascii="Cambria" w:hAnsi="Cambria" w:cs="Arial"/>
          <w:i/>
          <w:iCs/>
          <w:sz w:val="22"/>
          <w:szCs w:val="22"/>
        </w:rPr>
        <w:t xml:space="preserve"> The Big Picture</w:t>
      </w:r>
      <w:r w:rsidRPr="005033D9">
        <w:rPr>
          <w:rStyle w:val="pagesubhead"/>
          <w:rFonts w:ascii="Cambria" w:hAnsi="Cambria" w:cs="Arial"/>
          <w:i/>
          <w:iCs/>
          <w:sz w:val="22"/>
          <w:szCs w:val="22"/>
        </w:rPr>
        <w:t xml:space="preserve"> </w:t>
      </w:r>
      <w:r w:rsidRPr="005033D9">
        <w:rPr>
          <w:rFonts w:ascii="Cambria" w:hAnsi="Cambria" w:cs="Arial"/>
          <w:sz w:val="22"/>
          <w:szCs w:val="22"/>
        </w:rPr>
        <w:t xml:space="preserve">[Online], Available: http://www.unicef.org/health/index_bigpicture.html. </w:t>
      </w:r>
      <w:proofErr w:type="gramStart"/>
      <w:r w:rsidRPr="005033D9">
        <w:rPr>
          <w:rFonts w:ascii="Cambria" w:hAnsi="Cambria" w:cs="Arial"/>
          <w:sz w:val="22"/>
          <w:szCs w:val="22"/>
        </w:rPr>
        <w:t>Downloaded: 20.6.12].</w:t>
      </w:r>
      <w:proofErr w:type="gramEnd"/>
      <w:r w:rsidRPr="005033D9">
        <w:rPr>
          <w:rFonts w:ascii="Cambria" w:hAnsi="Cambria" w:cs="Arial"/>
          <w:sz w:val="22"/>
          <w:szCs w:val="22"/>
        </w:rPr>
        <w:t xml:space="preserve"> </w:t>
      </w:r>
    </w:p>
    <w:p w:rsidR="000A66D7" w:rsidRPr="005033D9" w:rsidRDefault="000A66D7">
      <w:pPr>
        <w:autoSpaceDE w:val="0"/>
        <w:autoSpaceDN w:val="0"/>
        <w:adjustRightInd w:val="0"/>
        <w:rPr>
          <w:rFonts w:ascii="Cambria" w:hAnsi="Cambria"/>
          <w:b/>
          <w:bCs/>
          <w:lang w:val="en-US"/>
        </w:rPr>
      </w:pPr>
    </w:p>
    <w:p w:rsidR="000A66D7" w:rsidRPr="005033D9" w:rsidRDefault="000A66D7">
      <w:pPr>
        <w:autoSpaceDE w:val="0"/>
        <w:autoSpaceDN w:val="0"/>
        <w:adjustRightInd w:val="0"/>
        <w:rPr>
          <w:rFonts w:ascii="Cambria" w:hAnsi="Cambria"/>
          <w:lang w:val="en-US"/>
        </w:rPr>
      </w:pPr>
      <w:proofErr w:type="gramStart"/>
      <w:r w:rsidRPr="005033D9">
        <w:rPr>
          <w:rFonts w:ascii="Cambria" w:hAnsi="Cambria"/>
          <w:lang w:val="en-US"/>
        </w:rPr>
        <w:t>UNICEF.</w:t>
      </w:r>
      <w:proofErr w:type="gramEnd"/>
      <w:r w:rsidRPr="005033D9">
        <w:rPr>
          <w:rFonts w:ascii="Cambria" w:hAnsi="Cambria"/>
          <w:lang w:val="en-US"/>
        </w:rPr>
        <w:t xml:space="preserve"> (1999). </w:t>
      </w:r>
      <w:r w:rsidRPr="005033D9">
        <w:rPr>
          <w:rFonts w:ascii="Cambria" w:hAnsi="Cambria"/>
          <w:i/>
          <w:iCs/>
          <w:lang w:val="en-US"/>
        </w:rPr>
        <w:t>Water, Environment and Sanitation Technical Guidelines Series No. 6: A Manual on Hygiene Promotion</w:t>
      </w:r>
      <w:r w:rsidRPr="005033D9">
        <w:rPr>
          <w:rFonts w:ascii="Cambria" w:hAnsi="Cambria"/>
          <w:lang w:val="en-US"/>
        </w:rPr>
        <w:t xml:space="preserve">. </w:t>
      </w:r>
      <w:r w:rsidRPr="005033D9">
        <w:rPr>
          <w:rFonts w:ascii="Cambria" w:hAnsi="Cambria"/>
          <w:i/>
          <w:iCs/>
          <w:lang w:val="en-US"/>
        </w:rPr>
        <w:t xml:space="preserve">Document No. </w:t>
      </w:r>
      <w:proofErr w:type="gramStart"/>
      <w:r w:rsidRPr="005033D9">
        <w:rPr>
          <w:rFonts w:ascii="Cambria" w:hAnsi="Cambria"/>
          <w:i/>
          <w:iCs/>
          <w:lang w:val="en-US"/>
        </w:rPr>
        <w:t>UNICEF/PD/WES/99-02.</w:t>
      </w:r>
      <w:proofErr w:type="gramEnd"/>
      <w:r w:rsidRPr="005033D9">
        <w:rPr>
          <w:rFonts w:ascii="Cambria" w:hAnsi="Cambria"/>
          <w:lang w:val="en-US"/>
        </w:rPr>
        <w:t xml:space="preserve"> New York: UNICEF. [Online], Available: </w:t>
      </w:r>
      <w:hyperlink r:id="rId48" w:history="1">
        <w:r w:rsidRPr="005033D9">
          <w:rPr>
            <w:rStyle w:val="Hyperlink"/>
            <w:rFonts w:ascii="Cambria" w:hAnsi="Cambria"/>
            <w:lang w:val="en-US"/>
          </w:rPr>
          <w:t>http://www.unicef.org/wash/files/com_e.pdf</w:t>
        </w:r>
      </w:hyperlink>
      <w:r w:rsidRPr="005033D9">
        <w:rPr>
          <w:rFonts w:ascii="Cambria" w:hAnsi="Cambria"/>
          <w:lang w:val="en-US"/>
        </w:rPr>
        <w:t xml:space="preserve"> [Downloaded: 27.7.12].</w:t>
      </w:r>
    </w:p>
    <w:p w:rsidR="000A66D7" w:rsidRPr="005033D9" w:rsidRDefault="000A66D7">
      <w:pPr>
        <w:autoSpaceDE w:val="0"/>
        <w:autoSpaceDN w:val="0"/>
        <w:adjustRightInd w:val="0"/>
        <w:rPr>
          <w:rFonts w:ascii="Cambria" w:hAnsi="Cambria"/>
          <w:lang w:val="en-US"/>
        </w:rPr>
      </w:pPr>
    </w:p>
    <w:p w:rsidR="000A66D7" w:rsidRPr="005033D9" w:rsidRDefault="000A66D7">
      <w:pPr>
        <w:autoSpaceDE w:val="0"/>
        <w:autoSpaceDN w:val="0"/>
        <w:adjustRightInd w:val="0"/>
        <w:rPr>
          <w:rFonts w:ascii="Cambria" w:hAnsi="Cambria"/>
          <w:color w:val="231F20"/>
          <w:lang w:val="en-US"/>
        </w:rPr>
      </w:pPr>
      <w:proofErr w:type="gramStart"/>
      <w:r w:rsidRPr="005033D9">
        <w:rPr>
          <w:rFonts w:ascii="Cambria" w:hAnsi="Cambria"/>
          <w:color w:val="231F20"/>
        </w:rPr>
        <w:t>UNICEF/WHO.</w:t>
      </w:r>
      <w:proofErr w:type="gramEnd"/>
      <w:r w:rsidRPr="005033D9">
        <w:rPr>
          <w:rFonts w:ascii="Cambria" w:hAnsi="Cambria"/>
          <w:color w:val="231F20"/>
        </w:rPr>
        <w:t xml:space="preserve"> (2009). </w:t>
      </w:r>
      <w:r w:rsidRPr="005033D9">
        <w:rPr>
          <w:rFonts w:ascii="Cambria" w:hAnsi="Cambria"/>
          <w:i/>
          <w:iCs/>
          <w:color w:val="231F20"/>
        </w:rPr>
        <w:t>Diarrhoea: Why Children Are Still Dying And What Can Be Done.</w:t>
      </w:r>
      <w:r w:rsidRPr="005033D9">
        <w:rPr>
          <w:rFonts w:ascii="Cambria" w:hAnsi="Cambria"/>
          <w:color w:val="231F20"/>
        </w:rPr>
        <w:t xml:space="preserve"> New York: </w:t>
      </w:r>
      <w:r w:rsidRPr="005033D9">
        <w:rPr>
          <w:rFonts w:ascii="Cambria" w:hAnsi="Cambria"/>
          <w:color w:val="231F20"/>
          <w:lang w:val="en-US"/>
        </w:rPr>
        <w:t xml:space="preserve">UNICEF/World Health Organization (WHO). [Online], Available: </w:t>
      </w:r>
      <w:r w:rsidRPr="005033D9">
        <w:rPr>
          <w:rStyle w:val="link"/>
          <w:rFonts w:ascii="Cambria" w:hAnsi="Cambria"/>
        </w:rPr>
        <w:t xml:space="preserve">whqlibdoc.who.int/publications/2009/9789241598415_eng.pdf </w:t>
      </w:r>
      <w:r w:rsidRPr="005033D9">
        <w:rPr>
          <w:rFonts w:ascii="Cambria" w:hAnsi="Cambria"/>
          <w:lang w:val="en-US"/>
        </w:rPr>
        <w:t>[Downloaded: 27.7.12].</w:t>
      </w:r>
    </w:p>
    <w:p w:rsidR="000A66D7" w:rsidRPr="005033D9" w:rsidRDefault="000A66D7">
      <w:pPr>
        <w:rPr>
          <w:rFonts w:ascii="Cambria" w:hAnsi="Cambria" w:cs="Arial"/>
        </w:rPr>
      </w:pPr>
    </w:p>
    <w:p w:rsidR="000A66D7" w:rsidRPr="005033D9" w:rsidRDefault="000A66D7">
      <w:pPr>
        <w:rPr>
          <w:rFonts w:ascii="Cambria" w:hAnsi="Cambria" w:cs="Arial"/>
        </w:rPr>
      </w:pPr>
      <w:proofErr w:type="gramStart"/>
      <w:r w:rsidRPr="005033D9">
        <w:rPr>
          <w:rFonts w:ascii="Cambria" w:hAnsi="Cambria" w:cs="Arial"/>
        </w:rPr>
        <w:t>United Nations.</w:t>
      </w:r>
      <w:proofErr w:type="gramEnd"/>
      <w:r w:rsidRPr="005033D9">
        <w:rPr>
          <w:rFonts w:ascii="Cambria" w:hAnsi="Cambria" w:cs="Arial"/>
        </w:rPr>
        <w:t xml:space="preserve"> (2010). </w:t>
      </w:r>
      <w:proofErr w:type="gramStart"/>
      <w:r w:rsidRPr="005033D9">
        <w:rPr>
          <w:rFonts w:ascii="Cambria" w:hAnsi="Cambria" w:cs="Arial"/>
          <w:i/>
          <w:iCs/>
        </w:rPr>
        <w:t>The</w:t>
      </w:r>
      <w:proofErr w:type="gramEnd"/>
      <w:r w:rsidRPr="005033D9">
        <w:rPr>
          <w:rFonts w:ascii="Cambria" w:hAnsi="Cambria" w:cs="Arial"/>
          <w:i/>
          <w:iCs/>
        </w:rPr>
        <w:t xml:space="preserve"> Millennium Development Goals Report, 2010. </w:t>
      </w:r>
      <w:r w:rsidRPr="005033D9">
        <w:rPr>
          <w:rFonts w:ascii="Cambria" w:hAnsi="Cambria" w:cs="Arial"/>
        </w:rPr>
        <w:t xml:space="preserve">[Online], Available: </w:t>
      </w:r>
      <w:hyperlink r:id="rId49" w:history="1">
        <w:r w:rsidRPr="005033D9">
          <w:rPr>
            <w:rStyle w:val="Hyperlink"/>
            <w:rFonts w:ascii="Cambria" w:hAnsi="Cambria" w:cs="Arial"/>
          </w:rPr>
          <w:t>http://www.un.org/millenniumgoals/pdf/MDG_FS_4_EN.pdf</w:t>
        </w:r>
      </w:hyperlink>
      <w:r w:rsidRPr="005033D9">
        <w:rPr>
          <w:rFonts w:ascii="Cambria" w:hAnsi="Cambria" w:cs="Arial"/>
        </w:rPr>
        <w:t xml:space="preserve"> Downloaded: 20.6.12].</w:t>
      </w:r>
    </w:p>
    <w:p w:rsidR="000A66D7" w:rsidRPr="005033D9" w:rsidRDefault="000A66D7">
      <w:pPr>
        <w:rPr>
          <w:rFonts w:ascii="Cambria" w:hAnsi="Cambria" w:cs="Arial"/>
        </w:rPr>
      </w:pPr>
    </w:p>
    <w:p w:rsidR="000A66D7" w:rsidRPr="005033D9" w:rsidRDefault="000A66D7">
      <w:pPr>
        <w:pStyle w:val="Heading1"/>
        <w:rPr>
          <w:rFonts w:ascii="Cambria" w:eastAsia="Arial Unicode MS" w:hAnsi="Cambria" w:cs="Arial"/>
          <w:b w:val="0"/>
          <w:bCs w:val="0"/>
          <w:color w:val="auto"/>
          <w:sz w:val="22"/>
          <w:szCs w:val="22"/>
        </w:rPr>
      </w:pPr>
      <w:proofErr w:type="spellStart"/>
      <w:proofErr w:type="gramStart"/>
      <w:r w:rsidRPr="005033D9">
        <w:rPr>
          <w:rFonts w:ascii="Cambria" w:hAnsi="Cambria" w:cs="Arial"/>
          <w:b w:val="0"/>
          <w:bCs w:val="0"/>
          <w:color w:val="auto"/>
          <w:sz w:val="22"/>
          <w:szCs w:val="22"/>
        </w:rPr>
        <w:t>Varley</w:t>
      </w:r>
      <w:proofErr w:type="spellEnd"/>
      <w:r w:rsidRPr="005033D9">
        <w:rPr>
          <w:rFonts w:ascii="Cambria" w:hAnsi="Cambria" w:cs="Arial"/>
          <w:b w:val="0"/>
          <w:bCs w:val="0"/>
          <w:color w:val="auto"/>
          <w:sz w:val="22"/>
          <w:szCs w:val="22"/>
        </w:rPr>
        <w:t xml:space="preserve">, R. C., </w:t>
      </w:r>
      <w:proofErr w:type="spellStart"/>
      <w:r w:rsidRPr="005033D9">
        <w:rPr>
          <w:rFonts w:ascii="Cambria" w:hAnsi="Cambria" w:cs="Arial"/>
          <w:b w:val="0"/>
          <w:bCs w:val="0"/>
          <w:color w:val="auto"/>
          <w:sz w:val="22"/>
          <w:szCs w:val="22"/>
        </w:rPr>
        <w:t>Tarvid</w:t>
      </w:r>
      <w:proofErr w:type="spellEnd"/>
      <w:r w:rsidRPr="005033D9">
        <w:rPr>
          <w:rFonts w:ascii="Cambria" w:hAnsi="Cambria" w:cs="Arial"/>
          <w:b w:val="0"/>
          <w:bCs w:val="0"/>
          <w:color w:val="auto"/>
          <w:sz w:val="22"/>
          <w:szCs w:val="22"/>
        </w:rPr>
        <w:t>, J. &amp; Chao, D. N. (1998).</w:t>
      </w:r>
      <w:proofErr w:type="gramEnd"/>
      <w:r w:rsidRPr="005033D9">
        <w:rPr>
          <w:rFonts w:ascii="Cambria" w:hAnsi="Cambria" w:cs="Arial"/>
          <w:b w:val="0"/>
          <w:bCs w:val="0"/>
          <w:color w:val="auto"/>
          <w:sz w:val="22"/>
          <w:szCs w:val="22"/>
        </w:rPr>
        <w:t xml:space="preserve"> </w:t>
      </w:r>
      <w:proofErr w:type="gramStart"/>
      <w:r w:rsidRPr="005033D9">
        <w:rPr>
          <w:rFonts w:ascii="Cambria" w:hAnsi="Cambria" w:cs="Arial"/>
          <w:b w:val="0"/>
          <w:bCs w:val="0"/>
          <w:color w:val="auto"/>
          <w:sz w:val="22"/>
          <w:szCs w:val="22"/>
        </w:rPr>
        <w:t>A Reassessment of the Cost-effectiveness of Water and Sanitation Interventions in Programmes for Controlling Childhood Diarrhoea.</w:t>
      </w:r>
      <w:proofErr w:type="gramEnd"/>
      <w:r w:rsidRPr="005033D9">
        <w:rPr>
          <w:rFonts w:ascii="Cambria" w:hAnsi="Cambria" w:cs="Arial"/>
          <w:b w:val="0"/>
          <w:bCs w:val="0"/>
          <w:color w:val="auto"/>
          <w:sz w:val="22"/>
          <w:szCs w:val="22"/>
        </w:rPr>
        <w:t xml:space="preserve"> </w:t>
      </w:r>
      <w:r w:rsidRPr="005033D9">
        <w:rPr>
          <w:rFonts w:ascii="Cambria" w:hAnsi="Cambria" w:cs="Arial"/>
          <w:b w:val="0"/>
          <w:bCs w:val="0"/>
          <w:i/>
          <w:iCs/>
          <w:color w:val="auto"/>
          <w:sz w:val="22"/>
          <w:szCs w:val="22"/>
        </w:rPr>
        <w:t xml:space="preserve">Bulletin of the World Health Organisation, </w:t>
      </w:r>
      <w:r w:rsidRPr="005033D9">
        <w:rPr>
          <w:rFonts w:ascii="Cambria" w:hAnsi="Cambria" w:cs="Arial"/>
          <w:b w:val="0"/>
          <w:bCs w:val="0"/>
          <w:color w:val="auto"/>
          <w:sz w:val="22"/>
          <w:szCs w:val="22"/>
        </w:rPr>
        <w:t>76(6): 617-31.</w:t>
      </w:r>
    </w:p>
    <w:p w:rsidR="000A66D7" w:rsidRPr="005033D9" w:rsidRDefault="000A66D7">
      <w:pPr>
        <w:pStyle w:val="NoSpacing"/>
        <w:rPr>
          <w:rFonts w:ascii="Cambria" w:hAnsi="Cambria" w:cs="Arial"/>
        </w:rPr>
      </w:pPr>
      <w:proofErr w:type="gramStart"/>
      <w:r w:rsidRPr="005033D9">
        <w:rPr>
          <w:rFonts w:ascii="Cambria" w:hAnsi="Cambria" w:cs="Arial"/>
        </w:rPr>
        <w:t>Werner, D &amp; Sanders, D. (1997).</w:t>
      </w:r>
      <w:proofErr w:type="gramEnd"/>
      <w:r w:rsidRPr="005033D9">
        <w:rPr>
          <w:rFonts w:ascii="Cambria" w:hAnsi="Cambria" w:cs="Arial"/>
        </w:rPr>
        <w:t xml:space="preserve"> Questioning the Solution: The Politics of Primary Health </w:t>
      </w:r>
    </w:p>
    <w:p w:rsidR="000A66D7" w:rsidRPr="005033D9" w:rsidRDefault="000A66D7">
      <w:pPr>
        <w:rPr>
          <w:rFonts w:ascii="Cambria" w:hAnsi="Cambria" w:cs="Arial"/>
        </w:rPr>
      </w:pPr>
      <w:proofErr w:type="gramStart"/>
      <w:r w:rsidRPr="005033D9">
        <w:rPr>
          <w:rFonts w:ascii="Cambria" w:hAnsi="Cambria" w:cs="Arial"/>
        </w:rPr>
        <w:t>Care and Child Survival.</w:t>
      </w:r>
      <w:proofErr w:type="gramEnd"/>
      <w:r w:rsidRPr="005033D9">
        <w:rPr>
          <w:rFonts w:ascii="Cambria" w:hAnsi="Cambria" w:cs="Arial"/>
        </w:rPr>
        <w:t xml:space="preserve"> Palo Alto, CA: </w:t>
      </w:r>
      <w:proofErr w:type="spellStart"/>
      <w:r w:rsidRPr="005033D9">
        <w:rPr>
          <w:rFonts w:ascii="Cambria" w:hAnsi="Cambria" w:cs="Arial"/>
        </w:rPr>
        <w:t>HealthWrights</w:t>
      </w:r>
      <w:proofErr w:type="spellEnd"/>
      <w:r w:rsidRPr="005033D9">
        <w:rPr>
          <w:rFonts w:ascii="Cambria" w:hAnsi="Cambria" w:cs="Arial"/>
        </w:rPr>
        <w:t xml:space="preserve">. [Online], Available: </w:t>
      </w:r>
      <w:hyperlink r:id="rId50" w:history="1">
        <w:r w:rsidRPr="005033D9">
          <w:rPr>
            <w:rStyle w:val="Hyperlink"/>
            <w:rFonts w:ascii="Cambria" w:hAnsi="Cambria"/>
          </w:rPr>
          <w:t>http://www.healthwrights.org/hw/books/208-ques-solu</w:t>
        </w:r>
      </w:hyperlink>
      <w:r w:rsidRPr="005033D9">
        <w:rPr>
          <w:rFonts w:ascii="Cambria" w:hAnsi="Cambria"/>
        </w:rPr>
        <w:t xml:space="preserve"> [Downloaded 17.07.12].</w:t>
      </w:r>
    </w:p>
    <w:p w:rsidR="000A66D7" w:rsidRPr="005033D9" w:rsidRDefault="000A66D7">
      <w:pPr>
        <w:rPr>
          <w:rFonts w:ascii="Cambria" w:hAnsi="Cambria" w:cs="Arial"/>
        </w:rPr>
      </w:pPr>
    </w:p>
    <w:p w:rsidR="000A66D7" w:rsidRPr="005033D9" w:rsidRDefault="000A66D7">
      <w:pPr>
        <w:pStyle w:val="Heading1"/>
        <w:spacing w:after="0"/>
        <w:rPr>
          <w:rFonts w:ascii="Cambria" w:hAnsi="Cambria" w:cs="Arial"/>
          <w:b w:val="0"/>
          <w:bCs w:val="0"/>
          <w:color w:val="auto"/>
          <w:sz w:val="22"/>
          <w:szCs w:val="22"/>
        </w:rPr>
      </w:pPr>
      <w:r w:rsidRPr="005033D9">
        <w:rPr>
          <w:rFonts w:ascii="Cambria" w:hAnsi="Cambria" w:cs="Arial"/>
          <w:b w:val="0"/>
          <w:bCs w:val="0"/>
          <w:color w:val="auto"/>
          <w:sz w:val="22"/>
          <w:szCs w:val="22"/>
        </w:rPr>
        <w:t xml:space="preserve">Werner, D. </w:t>
      </w:r>
      <w:r w:rsidRPr="005033D9">
        <w:rPr>
          <w:rFonts w:ascii="Cambria" w:hAnsi="Cambria" w:cs="Arial"/>
          <w:b w:val="0"/>
          <w:bCs w:val="0"/>
          <w:color w:val="auto"/>
          <w:sz w:val="22"/>
          <w:szCs w:val="22"/>
          <w:lang w:val="en-US"/>
        </w:rPr>
        <w:t xml:space="preserve">with </w:t>
      </w:r>
      <w:proofErr w:type="spellStart"/>
      <w:proofErr w:type="gramStart"/>
      <w:r w:rsidRPr="005033D9">
        <w:rPr>
          <w:rFonts w:ascii="Cambria" w:hAnsi="Cambria" w:cs="Arial"/>
          <w:b w:val="0"/>
          <w:bCs w:val="0"/>
          <w:color w:val="auto"/>
          <w:sz w:val="22"/>
          <w:szCs w:val="22"/>
          <w:lang w:val="en-US"/>
        </w:rPr>
        <w:t>Thuman</w:t>
      </w:r>
      <w:proofErr w:type="spellEnd"/>
      <w:r w:rsidRPr="005033D9">
        <w:rPr>
          <w:rFonts w:ascii="Cambria" w:hAnsi="Cambria" w:cs="Arial"/>
          <w:b w:val="0"/>
          <w:bCs w:val="0"/>
          <w:color w:val="auto"/>
          <w:sz w:val="22"/>
          <w:szCs w:val="22"/>
          <w:lang w:val="en-US"/>
        </w:rPr>
        <w:t xml:space="preserve"> ,</w:t>
      </w:r>
      <w:proofErr w:type="gramEnd"/>
      <w:r w:rsidRPr="005033D9">
        <w:rPr>
          <w:rFonts w:ascii="Cambria" w:hAnsi="Cambria" w:cs="Arial"/>
          <w:b w:val="0"/>
          <w:bCs w:val="0"/>
          <w:color w:val="auto"/>
          <w:sz w:val="22"/>
          <w:szCs w:val="22"/>
          <w:lang w:val="en-US"/>
        </w:rPr>
        <w:t xml:space="preserve"> C. and Maxwell, J.</w:t>
      </w:r>
      <w:r w:rsidRPr="005033D9">
        <w:rPr>
          <w:rFonts w:ascii="Cambria" w:hAnsi="Cambria" w:cs="Arial"/>
          <w:b w:val="0"/>
          <w:bCs w:val="0"/>
          <w:color w:val="auto"/>
          <w:sz w:val="22"/>
          <w:szCs w:val="22"/>
        </w:rPr>
        <w:t xml:space="preserve"> (2010). </w:t>
      </w:r>
      <w:r w:rsidRPr="005033D9">
        <w:rPr>
          <w:rFonts w:ascii="Cambria" w:hAnsi="Cambria" w:cs="Arial"/>
          <w:b w:val="0"/>
          <w:bCs w:val="0"/>
          <w:i/>
          <w:iCs/>
          <w:color w:val="auto"/>
          <w:sz w:val="22"/>
          <w:szCs w:val="22"/>
        </w:rPr>
        <w:t xml:space="preserve">Where </w:t>
      </w:r>
      <w:proofErr w:type="gramStart"/>
      <w:r w:rsidRPr="005033D9">
        <w:rPr>
          <w:rFonts w:ascii="Cambria" w:hAnsi="Cambria" w:cs="Arial"/>
          <w:b w:val="0"/>
          <w:bCs w:val="0"/>
          <w:i/>
          <w:iCs/>
          <w:color w:val="auto"/>
          <w:sz w:val="22"/>
          <w:szCs w:val="22"/>
        </w:rPr>
        <w:t>There</w:t>
      </w:r>
      <w:proofErr w:type="gramEnd"/>
      <w:r w:rsidRPr="005033D9">
        <w:rPr>
          <w:rFonts w:ascii="Cambria" w:hAnsi="Cambria" w:cs="Arial"/>
          <w:b w:val="0"/>
          <w:bCs w:val="0"/>
          <w:i/>
          <w:iCs/>
          <w:color w:val="auto"/>
          <w:sz w:val="22"/>
          <w:szCs w:val="22"/>
        </w:rPr>
        <w:t xml:space="preserve"> is No Doctor: A Village Health Care Handbook.</w:t>
      </w:r>
      <w:r w:rsidRPr="005033D9">
        <w:rPr>
          <w:rFonts w:ascii="Cambria" w:hAnsi="Cambria" w:cs="Arial"/>
          <w:b w:val="0"/>
          <w:bCs w:val="0"/>
          <w:color w:val="auto"/>
          <w:sz w:val="22"/>
          <w:szCs w:val="22"/>
        </w:rPr>
        <w:t xml:space="preserve"> </w:t>
      </w:r>
      <w:r w:rsidRPr="005033D9">
        <w:rPr>
          <w:rFonts w:ascii="Cambria" w:hAnsi="Cambria" w:cs="Arial"/>
          <w:b w:val="0"/>
          <w:bCs w:val="0"/>
          <w:color w:val="auto"/>
          <w:sz w:val="22"/>
          <w:szCs w:val="22"/>
          <w:lang w:val="en-US"/>
        </w:rPr>
        <w:t>Revised ed.</w:t>
      </w:r>
      <w:r w:rsidRPr="005033D9">
        <w:rPr>
          <w:rFonts w:ascii="Cambria" w:hAnsi="Cambria" w:cs="Arial"/>
          <w:b w:val="0"/>
          <w:bCs w:val="0"/>
          <w:color w:val="auto"/>
          <w:sz w:val="22"/>
          <w:szCs w:val="22"/>
        </w:rPr>
        <w:t xml:space="preserve"> [Online], Available: </w:t>
      </w:r>
      <w:hyperlink r:id="rId51" w:history="1">
        <w:r w:rsidRPr="005033D9">
          <w:rPr>
            <w:rStyle w:val="Hyperlink"/>
            <w:rFonts w:ascii="Cambria" w:hAnsi="Cambria" w:cs="Arial"/>
            <w:b w:val="0"/>
            <w:bCs w:val="0"/>
            <w:color w:val="auto"/>
            <w:sz w:val="22"/>
            <w:szCs w:val="22"/>
          </w:rPr>
          <w:t>http://weblife.org/pdf/</w:t>
        </w:r>
      </w:hyperlink>
    </w:p>
    <w:p w:rsidR="000A66D7" w:rsidRPr="005033D9" w:rsidRDefault="000A66D7">
      <w:pPr>
        <w:pStyle w:val="Heading1"/>
        <w:spacing w:after="0"/>
        <w:rPr>
          <w:rFonts w:ascii="Cambria" w:hAnsi="Cambria" w:cs="Arial"/>
          <w:b w:val="0"/>
          <w:bCs w:val="0"/>
          <w:color w:val="auto"/>
          <w:sz w:val="22"/>
          <w:szCs w:val="22"/>
        </w:rPr>
      </w:pPr>
      <w:r w:rsidRPr="005033D9">
        <w:rPr>
          <w:rFonts w:ascii="Cambria" w:hAnsi="Cambria" w:cs="Arial"/>
          <w:b w:val="0"/>
          <w:bCs w:val="0"/>
          <w:color w:val="auto"/>
          <w:sz w:val="22"/>
          <w:szCs w:val="22"/>
        </w:rPr>
        <w:t xml:space="preserve">where_there_is_no_doctor.pdf </w:t>
      </w:r>
    </w:p>
    <w:p w:rsidR="000A66D7" w:rsidRPr="005033D9" w:rsidRDefault="000A66D7">
      <w:pPr>
        <w:rPr>
          <w:rFonts w:ascii="Cambria" w:hAnsi="Cambria" w:cs="Arial"/>
        </w:rPr>
      </w:pPr>
      <w:r w:rsidRPr="005033D9">
        <w:rPr>
          <w:rFonts w:ascii="Cambria" w:hAnsi="Cambria" w:cs="Arial"/>
        </w:rPr>
        <w:t xml:space="preserve">Hard copy: Macmillan/TALC. Available: TALC. This can be ordered from TALC: </w:t>
      </w:r>
      <w:hyperlink r:id="rId52" w:history="1">
        <w:r w:rsidRPr="005033D9">
          <w:rPr>
            <w:rStyle w:val="Hyperlink"/>
            <w:rFonts w:ascii="Cambria" w:hAnsi="Cambria" w:cs="Arial"/>
            <w:color w:val="auto"/>
          </w:rPr>
          <w:t>http://www.talcuk.org/books/where-there-is-no-doctor-african-edition.htm</w:t>
        </w:r>
      </w:hyperlink>
      <w:r w:rsidRPr="005033D9">
        <w:rPr>
          <w:rFonts w:ascii="Cambria" w:hAnsi="Cambria" w:cs="Arial"/>
        </w:rPr>
        <w:t xml:space="preserve"> [Downloaded: 20.7.12].</w:t>
      </w:r>
    </w:p>
    <w:p w:rsidR="000A66D7" w:rsidRPr="005033D9" w:rsidRDefault="000A66D7">
      <w:pPr>
        <w:rPr>
          <w:rFonts w:ascii="Cambria" w:hAnsi="Cambria"/>
          <w:b/>
          <w:bCs/>
        </w:rPr>
      </w:pPr>
    </w:p>
    <w:p w:rsidR="000A66D7" w:rsidRPr="005033D9" w:rsidRDefault="000A66D7">
      <w:pPr>
        <w:rPr>
          <w:rFonts w:ascii="Cambria" w:hAnsi="Cambria" w:cs="Arial"/>
        </w:rPr>
      </w:pPr>
      <w:proofErr w:type="gramStart"/>
      <w:r w:rsidRPr="005033D9">
        <w:rPr>
          <w:rFonts w:ascii="Cambria" w:hAnsi="Cambria" w:cs="Arial"/>
        </w:rPr>
        <w:t>WHO.</w:t>
      </w:r>
      <w:proofErr w:type="gramEnd"/>
      <w:r w:rsidRPr="005033D9">
        <w:rPr>
          <w:rFonts w:ascii="Cambria" w:hAnsi="Cambria" w:cs="Arial"/>
        </w:rPr>
        <w:t xml:space="preserve"> (2000). Management of the Child with a Serious Infection or Severe Malnutrition: </w:t>
      </w:r>
    </w:p>
    <w:p w:rsidR="000A66D7" w:rsidRPr="005033D9" w:rsidRDefault="000A66D7">
      <w:pPr>
        <w:rPr>
          <w:rFonts w:ascii="Cambria" w:hAnsi="Cambria" w:cs="Arial"/>
        </w:rPr>
      </w:pPr>
      <w:proofErr w:type="gramStart"/>
      <w:r w:rsidRPr="005033D9">
        <w:rPr>
          <w:rFonts w:ascii="Cambria" w:hAnsi="Cambria" w:cs="Arial"/>
        </w:rPr>
        <w:t>Guidelines for Care at the First-Referral Level in Developing Countries.</w:t>
      </w:r>
      <w:proofErr w:type="gramEnd"/>
      <w:r w:rsidRPr="005033D9">
        <w:rPr>
          <w:rFonts w:ascii="Cambria" w:hAnsi="Cambria" w:cs="Arial"/>
        </w:rPr>
        <w:t xml:space="preserve"> Geneva: World Health Organization: 80-91. [Online], Available: </w:t>
      </w:r>
      <w:hyperlink r:id="rId53" w:history="1">
        <w:r w:rsidRPr="005033D9">
          <w:rPr>
            <w:rStyle w:val="Hyperlink"/>
            <w:rFonts w:ascii="Cambria" w:hAnsi="Cambria" w:cs="Arial"/>
            <w:color w:val="auto"/>
          </w:rPr>
          <w:t xml:space="preserve">http://www.who.int/child-adolescent-health/publications/referral_care/homepage.html </w:t>
        </w:r>
      </w:hyperlink>
      <w:r w:rsidRPr="005033D9">
        <w:rPr>
          <w:rFonts w:ascii="Cambria" w:hAnsi="Cambria" w:cs="Arial"/>
        </w:rPr>
        <w:t>[Accessed 12.8.09].</w:t>
      </w:r>
    </w:p>
    <w:p w:rsidR="000A66D7" w:rsidRPr="005033D9" w:rsidRDefault="000A66D7">
      <w:pPr>
        <w:rPr>
          <w:rFonts w:ascii="Cambria" w:hAnsi="Cambria" w:cs="Arial"/>
        </w:rPr>
      </w:pPr>
    </w:p>
    <w:p w:rsidR="000A66D7" w:rsidRPr="005033D9" w:rsidRDefault="000A66D7">
      <w:pPr>
        <w:rPr>
          <w:rFonts w:ascii="Cambria" w:hAnsi="Cambria" w:cs="Arial"/>
          <w:i/>
        </w:rPr>
      </w:pPr>
      <w:proofErr w:type="gramStart"/>
      <w:r w:rsidRPr="005033D9">
        <w:rPr>
          <w:rFonts w:ascii="Cambria" w:hAnsi="Cambria" w:cs="Arial"/>
        </w:rPr>
        <w:t>WHO.</w:t>
      </w:r>
      <w:proofErr w:type="gramEnd"/>
      <w:r w:rsidRPr="005033D9">
        <w:rPr>
          <w:rFonts w:ascii="Cambria" w:hAnsi="Cambria" w:cs="Arial"/>
        </w:rPr>
        <w:t xml:space="preserve"> (2008a). </w:t>
      </w:r>
      <w:proofErr w:type="gramStart"/>
      <w:r w:rsidRPr="005033D9">
        <w:rPr>
          <w:rFonts w:ascii="Cambria" w:hAnsi="Cambria" w:cs="Arial"/>
          <w:i/>
          <w:iCs/>
        </w:rPr>
        <w:t>The</w:t>
      </w:r>
      <w:proofErr w:type="gramEnd"/>
      <w:r w:rsidRPr="005033D9">
        <w:rPr>
          <w:rFonts w:ascii="Cambria" w:hAnsi="Cambria" w:cs="Arial"/>
          <w:i/>
          <w:iCs/>
        </w:rPr>
        <w:t xml:space="preserve"> Social Determinants of Health.</w:t>
      </w:r>
      <w:r w:rsidRPr="005033D9">
        <w:rPr>
          <w:rFonts w:ascii="Cambria" w:hAnsi="Cambria" w:cs="Arial"/>
        </w:rPr>
        <w:t xml:space="preserve"> [Online], Available: </w:t>
      </w:r>
      <w:hyperlink r:id="rId54" w:history="1">
        <w:r w:rsidRPr="005033D9">
          <w:rPr>
            <w:rStyle w:val="Hyperlink"/>
            <w:rFonts w:ascii="Cambria" w:hAnsi="Cambria" w:cs="Arial"/>
            <w:color w:val="auto"/>
          </w:rPr>
          <w:t>http://www.who.int/social_determinants/en/</w:t>
        </w:r>
      </w:hyperlink>
      <w:r w:rsidRPr="005033D9">
        <w:rPr>
          <w:rFonts w:ascii="Cambria" w:hAnsi="Cambria" w:cs="Arial"/>
        </w:rPr>
        <w:t xml:space="preserve"> [Downloaded 17.12.09].</w:t>
      </w:r>
    </w:p>
    <w:p w:rsidR="000A66D7" w:rsidRPr="005033D9" w:rsidRDefault="000A66D7">
      <w:pPr>
        <w:rPr>
          <w:rFonts w:ascii="Cambria" w:hAnsi="Cambria" w:cs="Arial"/>
          <w:i/>
        </w:rPr>
      </w:pPr>
    </w:p>
    <w:p w:rsidR="000A66D7" w:rsidRPr="005033D9" w:rsidRDefault="000A66D7">
      <w:pPr>
        <w:rPr>
          <w:rFonts w:ascii="Cambria" w:hAnsi="Cambria" w:cs="Arial"/>
        </w:rPr>
      </w:pPr>
      <w:proofErr w:type="gramStart"/>
      <w:r w:rsidRPr="005033D9">
        <w:rPr>
          <w:rFonts w:ascii="Cambria" w:hAnsi="Cambria" w:cs="Arial"/>
        </w:rPr>
        <w:t>WHO.</w:t>
      </w:r>
      <w:proofErr w:type="gramEnd"/>
      <w:r w:rsidRPr="005033D9">
        <w:rPr>
          <w:rFonts w:ascii="Cambria" w:hAnsi="Cambria" w:cs="Arial"/>
        </w:rPr>
        <w:t xml:space="preserve"> (2008b). </w:t>
      </w:r>
      <w:proofErr w:type="gramStart"/>
      <w:r w:rsidRPr="005033D9">
        <w:rPr>
          <w:rFonts w:ascii="Cambria" w:hAnsi="Cambria" w:cs="Arial"/>
        </w:rPr>
        <w:t>The</w:t>
      </w:r>
      <w:proofErr w:type="gramEnd"/>
      <w:r w:rsidRPr="005033D9">
        <w:rPr>
          <w:rFonts w:ascii="Cambria" w:hAnsi="Cambria" w:cs="Arial"/>
        </w:rPr>
        <w:t xml:space="preserve"> Commission on Social Determinants of Health. [Online], Available: </w:t>
      </w:r>
      <w:hyperlink r:id="rId55" w:history="1">
        <w:r w:rsidRPr="005033D9">
          <w:rPr>
            <w:rStyle w:val="Hyperlink"/>
            <w:rFonts w:ascii="Cambria" w:hAnsi="Cambria" w:cs="Arial"/>
            <w:color w:val="auto"/>
          </w:rPr>
          <w:t>http://www.who.int/mediacentre/news/releases/2008/pr29/en/index.html</w:t>
        </w:r>
      </w:hyperlink>
      <w:r w:rsidRPr="005033D9">
        <w:rPr>
          <w:rFonts w:ascii="Cambria" w:hAnsi="Cambria" w:cs="Arial"/>
        </w:rPr>
        <w:t xml:space="preserve"> [Downloaded: 17.12.09].</w:t>
      </w:r>
    </w:p>
    <w:p w:rsidR="000A66D7" w:rsidRPr="005033D9" w:rsidRDefault="000A66D7">
      <w:pPr>
        <w:rPr>
          <w:rFonts w:ascii="Cambria" w:hAnsi="Cambria"/>
        </w:rPr>
      </w:pPr>
    </w:p>
    <w:p w:rsidR="000A66D7" w:rsidRPr="005033D9" w:rsidRDefault="000A66D7">
      <w:pPr>
        <w:pStyle w:val="NormalWeb"/>
        <w:spacing w:before="0" w:beforeAutospacing="0" w:after="0" w:afterAutospacing="0"/>
        <w:ind w:left="-993"/>
        <w:rPr>
          <w:rFonts w:ascii="Cambria" w:hAnsi="Cambria"/>
          <w:sz w:val="22"/>
          <w:szCs w:val="22"/>
        </w:rPr>
      </w:pPr>
    </w:p>
    <w:p w:rsidR="00E152B5" w:rsidRDefault="00E152B5">
      <w:pPr>
        <w:rPr>
          <w:b/>
          <w:bCs/>
          <w:color w:val="002060"/>
          <w:sz w:val="40"/>
          <w:lang w:eastAsia="en-GB"/>
        </w:rPr>
      </w:pPr>
      <w:r>
        <w:rPr>
          <w:b/>
          <w:bCs/>
          <w:color w:val="002060"/>
          <w:sz w:val="40"/>
          <w:lang w:eastAsia="en-GB"/>
        </w:rPr>
        <w:br w:type="page"/>
      </w:r>
    </w:p>
    <w:p w:rsidR="00E152B5" w:rsidRDefault="00E152B5">
      <w:pPr>
        <w:tabs>
          <w:tab w:val="left" w:pos="2296"/>
        </w:tabs>
        <w:spacing w:before="120" w:after="120" w:line="300" w:lineRule="atLeast"/>
        <w:rPr>
          <w:b/>
          <w:bCs/>
          <w:color w:val="002060"/>
          <w:sz w:val="40"/>
          <w:lang w:eastAsia="en-GB"/>
        </w:rPr>
      </w:pPr>
    </w:p>
    <w:p w:rsidR="000A66D7" w:rsidRDefault="000A66D7">
      <w:pPr>
        <w:tabs>
          <w:tab w:val="left" w:pos="2296"/>
        </w:tabs>
        <w:spacing w:before="120" w:after="120" w:line="300" w:lineRule="atLeast"/>
        <w:rPr>
          <w:b/>
          <w:bCs/>
          <w:color w:val="002060"/>
          <w:sz w:val="36"/>
          <w:szCs w:val="28"/>
        </w:rPr>
      </w:pPr>
      <w:r>
        <w:rPr>
          <w:b/>
          <w:bCs/>
          <w:color w:val="002060"/>
          <w:sz w:val="40"/>
          <w:lang w:eastAsia="en-GB"/>
        </w:rPr>
        <w:t xml:space="preserve">Addendum 1: </w:t>
      </w:r>
      <w:r>
        <w:rPr>
          <w:b/>
          <w:bCs/>
          <w:color w:val="002060"/>
          <w:sz w:val="40"/>
          <w:szCs w:val="28"/>
        </w:rPr>
        <w:t xml:space="preserve">Submission to the South African Human Rights Commission: An Example of Advocacy </w:t>
      </w:r>
      <w:r>
        <w:rPr>
          <w:b/>
          <w:bCs/>
          <w:color w:val="002060"/>
          <w:sz w:val="36"/>
          <w:szCs w:val="28"/>
        </w:rPr>
        <w:t xml:space="preserve"> </w:t>
      </w:r>
    </w:p>
    <w:p w:rsidR="000A66D7" w:rsidRDefault="000A66D7">
      <w:pPr>
        <w:spacing w:before="120" w:after="120" w:line="300" w:lineRule="atLeast"/>
        <w:rPr>
          <w:rFonts w:ascii="Arial Narrow" w:hAnsi="Arial Narrow" w:cs="Arial"/>
          <w:szCs w:val="28"/>
        </w:rPr>
      </w:pPr>
      <w:r>
        <w:rPr>
          <w:rFonts w:ascii="Arial Narrow" w:hAnsi="Arial Narrow" w:cs="Arial"/>
          <w:szCs w:val="28"/>
        </w:rPr>
        <w:t>Here is an example of advocacy undertaken at a national level in South Africa in 2009</w:t>
      </w:r>
      <w:r>
        <w:rPr>
          <w:rFonts w:ascii="Arial Narrow" w:hAnsi="Arial Narrow"/>
        </w:rPr>
        <w:t xml:space="preserve"> which was presented at a hearing of the Human Rights Commission in South Africa. The submission was compiled</w:t>
      </w:r>
      <w:r>
        <w:rPr>
          <w:rFonts w:ascii="Arial Narrow" w:hAnsi="Arial Narrow" w:cs="Arial"/>
          <w:szCs w:val="28"/>
        </w:rPr>
        <w:t xml:space="preserve"> by members of the People’s Health </w:t>
      </w:r>
      <w:proofErr w:type="gramStart"/>
      <w:r>
        <w:rPr>
          <w:rFonts w:ascii="Arial Narrow" w:hAnsi="Arial Narrow" w:cs="Arial"/>
          <w:szCs w:val="28"/>
        </w:rPr>
        <w:t>Movement .</w:t>
      </w:r>
      <w:proofErr w:type="gramEnd"/>
      <w:r>
        <w:rPr>
          <w:rFonts w:ascii="Arial Narrow" w:hAnsi="Arial Narrow" w:cs="Arial"/>
          <w:szCs w:val="28"/>
        </w:rPr>
        <w:t xml:space="preserve"> Note that evidence serves as the basis of the submission.</w:t>
      </w:r>
    </w:p>
    <w:p w:rsidR="000A66D7" w:rsidRDefault="000A66D7">
      <w:pPr>
        <w:ind w:left="-1440" w:firstLine="1440"/>
      </w:pPr>
    </w:p>
    <w:p w:rsidR="000A66D7" w:rsidRDefault="000A66D7">
      <w:pPr>
        <w:spacing w:before="120" w:after="120" w:line="300" w:lineRule="atLeast"/>
        <w:rPr>
          <w:rFonts w:ascii="Arial" w:hAnsi="Arial" w:cs="Arial"/>
          <w:b/>
          <w:bCs/>
          <w:color w:val="002060"/>
          <w:sz w:val="32"/>
          <w:szCs w:val="32"/>
        </w:rPr>
      </w:pPr>
      <w:r>
        <w:rPr>
          <w:rFonts w:ascii="Arial" w:hAnsi="Arial" w:cs="Arial"/>
          <w:b/>
          <w:bCs/>
          <w:color w:val="002060"/>
          <w:sz w:val="32"/>
          <w:szCs w:val="32"/>
        </w:rPr>
        <w:t>Submission to the SA Human Rights Commission</w:t>
      </w:r>
    </w:p>
    <w:p w:rsidR="000A66D7" w:rsidRDefault="007A2E92">
      <w:pPr>
        <w:rPr>
          <w:rFonts w:ascii="Arial Narrow" w:hAnsi="Arial Narrow"/>
          <w:bCs/>
          <w:i/>
          <w:sz w:val="20"/>
        </w:rPr>
      </w:pPr>
      <w:r>
        <w:rPr>
          <w:rFonts w:ascii="Arial Narrow" w:hAnsi="Arial Narrow"/>
          <w:bCs/>
          <w:noProof/>
          <w:sz w:val="20"/>
          <w:szCs w:val="28"/>
          <w:lang w:val="en-US" w:eastAsia="zh-TW"/>
        </w:rPr>
        <w:pict>
          <v:shape id="_x0000_s1127" type="#_x0000_t202" style="position:absolute;margin-left:285pt;margin-top:2.25pt;width:188.65pt;height:169.8pt;z-index:-251658240;mso-width-percent:400;mso-width-percent:400;mso-width-relative:margin;mso-height-relative:margin" wrapcoords="-86 -100 -86 21500 21686 21500 21686 -100 -86 -100" fillcolor="#dbe5f1">
            <v:textbox>
              <w:txbxContent>
                <w:p w:rsidR="000A66D7" w:rsidRDefault="000A66D7">
                  <w:pPr>
                    <w:shd w:val="clear" w:color="auto" w:fill="DBE5F1"/>
                    <w:rPr>
                      <w:sz w:val="18"/>
                      <w:szCs w:val="18"/>
                      <w:lang w:eastAsia="en-GB"/>
                    </w:rPr>
                  </w:pPr>
                  <w:r>
                    <w:rPr>
                      <w:sz w:val="18"/>
                      <w:szCs w:val="18"/>
                      <w:lang w:eastAsia="en-GB"/>
                    </w:rPr>
                    <w:t>The People’s Health Movement (PHM) has its roots deep in the grassroots people's movement and owes its genesis to many health networks and activists who have been concerned by the growing inequities in health over the last 25 years. The PHM calls for a revitalisation of the principles of the Alma-Ata Declaration which promised Health for All by the year 2000 and complete revision of international and domestic policy that has shown to impact negatively on health status and systems.</w:t>
                  </w:r>
                </w:p>
                <w:p w:rsidR="000A66D7" w:rsidRDefault="000A66D7">
                  <w:pPr>
                    <w:shd w:val="clear" w:color="auto" w:fill="DBE5F1"/>
                    <w:rPr>
                      <w:b/>
                      <w:bCs/>
                      <w:sz w:val="18"/>
                      <w:szCs w:val="18"/>
                    </w:rPr>
                  </w:pPr>
                  <w:r>
                    <w:rPr>
                      <w:sz w:val="18"/>
                      <w:szCs w:val="18"/>
                    </w:rPr>
                    <w:t>Visit their website at: http://www.phmovement.org/</w:t>
                  </w:r>
                </w:p>
                <w:p w:rsidR="000A66D7" w:rsidRDefault="000A66D7">
                  <w:pPr>
                    <w:shd w:val="clear" w:color="auto" w:fill="DBE5F1"/>
                    <w:rPr>
                      <w:sz w:val="18"/>
                      <w:szCs w:val="18"/>
                    </w:rPr>
                  </w:pPr>
                </w:p>
              </w:txbxContent>
            </v:textbox>
            <w10:wrap type="tight"/>
          </v:shape>
        </w:pict>
      </w:r>
      <w:r w:rsidR="000A66D7">
        <w:rPr>
          <w:rFonts w:ascii="Arial Narrow" w:hAnsi="Arial Narrow"/>
          <w:bCs/>
          <w:sz w:val="20"/>
          <w:szCs w:val="20"/>
        </w:rPr>
        <w:t xml:space="preserve">Reference: Reynolds, L. &amp; Sanders, D. on behalf of the People’s Health Movement (PHM). </w:t>
      </w:r>
      <w:proofErr w:type="gramStart"/>
      <w:r w:rsidR="000A66D7">
        <w:rPr>
          <w:rFonts w:ascii="Arial Narrow" w:hAnsi="Arial Narrow"/>
          <w:bCs/>
          <w:sz w:val="20"/>
          <w:szCs w:val="20"/>
        </w:rPr>
        <w:t>(2008).</w:t>
      </w:r>
      <w:r w:rsidR="000A66D7">
        <w:rPr>
          <w:rFonts w:ascii="Arial Narrow" w:hAnsi="Arial Narrow"/>
          <w:bCs/>
          <w:i/>
          <w:sz w:val="20"/>
          <w:szCs w:val="20"/>
        </w:rPr>
        <w:t xml:space="preserve"> Submission to the SA </w:t>
      </w:r>
      <w:r w:rsidR="000A66D7">
        <w:rPr>
          <w:rFonts w:ascii="Arial Narrow" w:hAnsi="Arial Narrow"/>
          <w:bCs/>
          <w:i/>
          <w:sz w:val="20"/>
        </w:rPr>
        <w:t>Human Rights Commission</w:t>
      </w:r>
      <w:r w:rsidR="000A66D7">
        <w:rPr>
          <w:rFonts w:ascii="Arial Narrow" w:hAnsi="Arial Narrow"/>
          <w:bCs/>
          <w:i/>
          <w:sz w:val="20"/>
          <w:szCs w:val="20"/>
        </w:rPr>
        <w:t>.</w:t>
      </w:r>
      <w:proofErr w:type="gramEnd"/>
      <w:r w:rsidR="000A66D7">
        <w:rPr>
          <w:rFonts w:ascii="Arial Narrow" w:hAnsi="Arial Narrow"/>
          <w:bCs/>
          <w:i/>
          <w:sz w:val="20"/>
          <w:szCs w:val="20"/>
        </w:rPr>
        <w:t xml:space="preserve"> Cape Town, RSA: PHM.</w:t>
      </w:r>
    </w:p>
    <w:p w:rsidR="000A66D7" w:rsidRDefault="000A66D7">
      <w:pPr>
        <w:spacing w:before="120" w:after="120" w:line="300" w:lineRule="atLeast"/>
        <w:rPr>
          <w:rFonts w:ascii="Arial Narrow" w:hAnsi="Arial Narrow" w:cs="Arial"/>
          <w:sz w:val="20"/>
        </w:rPr>
      </w:pPr>
      <w:r>
        <w:rPr>
          <w:rFonts w:ascii="Arial Narrow" w:hAnsi="Arial Narrow" w:cs="Arial"/>
          <w:sz w:val="20"/>
        </w:rPr>
        <w:t>Conditions in health facilities often give us a good idea of what goes on in the areas and communities that the patients come from. They also provide good insight into prevailing standards of health care, both within the facility and elsewhere.</w:t>
      </w:r>
    </w:p>
    <w:p w:rsidR="000A66D7" w:rsidRDefault="000A66D7">
      <w:pPr>
        <w:pStyle w:val="PlainText"/>
        <w:spacing w:before="120" w:after="120" w:line="300" w:lineRule="atLeast"/>
        <w:rPr>
          <w:rFonts w:ascii="Arial Narrow" w:hAnsi="Arial Narrow" w:cs="Arial"/>
          <w:szCs w:val="22"/>
        </w:rPr>
      </w:pPr>
      <w:r>
        <w:rPr>
          <w:rFonts w:ascii="Arial Narrow" w:hAnsi="Arial Narrow" w:cs="Arial"/>
          <w:szCs w:val="22"/>
        </w:rPr>
        <w:t>The Red Cross War Memorial Children's Hospital (RCCH) provides a teaching platform for the Health Sciences Faculty of the University of Cape Town. It provides training for various categories of health professionals including nurses and future doctors and specialists.</w:t>
      </w:r>
    </w:p>
    <w:p w:rsidR="000A66D7" w:rsidRDefault="000A66D7">
      <w:pPr>
        <w:spacing w:before="120" w:after="120" w:line="300" w:lineRule="atLeast"/>
        <w:rPr>
          <w:rFonts w:ascii="Arial Narrow" w:hAnsi="Arial Narrow" w:cs="Arial"/>
          <w:sz w:val="20"/>
        </w:rPr>
      </w:pPr>
      <w:r>
        <w:rPr>
          <w:rFonts w:ascii="Arial Narrow" w:hAnsi="Arial Narrow" w:cs="Arial"/>
          <w:sz w:val="20"/>
        </w:rPr>
        <w:t>It is a relatively well-resourced institution in comparison with other public sector health facilities, and it is located in the province with the lowest under-5 mortality</w:t>
      </w:r>
      <w:r>
        <w:rPr>
          <w:rStyle w:val="FootnoteReference"/>
          <w:rFonts w:ascii="Arial Narrow" w:hAnsi="Arial Narrow" w:cs="Arial"/>
          <w:sz w:val="20"/>
        </w:rPr>
        <w:footnoteReference w:id="1"/>
      </w:r>
      <w:r>
        <w:rPr>
          <w:rFonts w:ascii="Arial Narrow" w:hAnsi="Arial Narrow" w:cs="Arial"/>
          <w:sz w:val="20"/>
        </w:rPr>
        <w:t xml:space="preserve"> rate in the country.</w:t>
      </w:r>
    </w:p>
    <w:p w:rsidR="000A66D7" w:rsidRDefault="000A66D7">
      <w:pPr>
        <w:spacing w:before="120" w:after="120" w:line="300" w:lineRule="atLeast"/>
        <w:rPr>
          <w:rFonts w:ascii="Arial Narrow" w:hAnsi="Arial Narrow" w:cs="Arial"/>
          <w:sz w:val="20"/>
        </w:rPr>
      </w:pPr>
      <w:r>
        <w:rPr>
          <w:rFonts w:ascii="Arial Narrow" w:hAnsi="Arial Narrow" w:cs="Arial"/>
          <w:sz w:val="20"/>
        </w:rPr>
        <w:t xml:space="preserve">This short document describes conditions in the outpatient ward at the RCCH as an indicator of progress in implementing children's constitutional rights. </w:t>
      </w:r>
    </w:p>
    <w:p w:rsidR="000A66D7" w:rsidRDefault="000A66D7">
      <w:pPr>
        <w:spacing w:before="120" w:after="120" w:line="300" w:lineRule="atLeast"/>
        <w:rPr>
          <w:rFonts w:ascii="Arial Narrow" w:hAnsi="Arial Narrow" w:cs="Arial"/>
          <w:b/>
          <w:bCs/>
          <w:sz w:val="20"/>
        </w:rPr>
      </w:pPr>
    </w:p>
    <w:p w:rsidR="000A66D7" w:rsidRDefault="000A66D7">
      <w:pPr>
        <w:spacing w:before="120" w:after="120" w:line="300" w:lineRule="atLeast"/>
        <w:rPr>
          <w:rFonts w:ascii="Arial Narrow" w:hAnsi="Arial Narrow" w:cs="Arial"/>
          <w:b/>
          <w:bCs/>
          <w:sz w:val="20"/>
        </w:rPr>
      </w:pPr>
      <w:r>
        <w:rPr>
          <w:rFonts w:ascii="Arial Narrow" w:hAnsi="Arial Narrow" w:cs="Arial"/>
          <w:b/>
          <w:bCs/>
          <w:sz w:val="20"/>
        </w:rPr>
        <w:t>Trends in admission to the Ward S11 (A8 – General, A9 – Rehydration) at Red Cross War Memorial Children’s Hospital</w:t>
      </w:r>
    </w:p>
    <w:p w:rsidR="000A66D7" w:rsidRDefault="000A66D7">
      <w:pPr>
        <w:spacing w:before="120" w:after="120" w:line="300" w:lineRule="atLeast"/>
        <w:rPr>
          <w:rFonts w:ascii="Arial Narrow" w:hAnsi="Arial Narrow" w:cs="Arial"/>
          <w:sz w:val="20"/>
        </w:rPr>
      </w:pPr>
      <w:r>
        <w:rPr>
          <w:rFonts w:ascii="Arial Narrow" w:hAnsi="Arial Narrow" w:cs="Arial"/>
          <w:sz w:val="20"/>
        </w:rPr>
        <w:t xml:space="preserve">The Short Stay Ward, S11, at the Red Cross War Memorial Children's Hospital (RCCH) is the main ward for sick children from </w:t>
      </w:r>
      <w:proofErr w:type="spellStart"/>
      <w:r>
        <w:rPr>
          <w:rFonts w:ascii="Arial Narrow" w:hAnsi="Arial Narrow" w:cs="Arial"/>
          <w:sz w:val="20"/>
        </w:rPr>
        <w:t>Klipfontein</w:t>
      </w:r>
      <w:proofErr w:type="spellEnd"/>
      <w:r>
        <w:rPr>
          <w:rFonts w:ascii="Arial Narrow" w:hAnsi="Arial Narrow" w:cs="Arial"/>
          <w:sz w:val="20"/>
        </w:rPr>
        <w:t xml:space="preserve">, </w:t>
      </w:r>
      <w:proofErr w:type="spellStart"/>
      <w:r>
        <w:rPr>
          <w:rFonts w:ascii="Arial Narrow" w:hAnsi="Arial Narrow" w:cs="Arial"/>
          <w:sz w:val="20"/>
        </w:rPr>
        <w:t>Khayelitsha</w:t>
      </w:r>
      <w:proofErr w:type="spellEnd"/>
      <w:r>
        <w:rPr>
          <w:rFonts w:ascii="Arial Narrow" w:hAnsi="Arial Narrow" w:cs="Arial"/>
          <w:sz w:val="20"/>
        </w:rPr>
        <w:t xml:space="preserve"> and Mitchell’s Plain sub-districts in Cape Town. About 18% of patients come from beyond those areas. </w:t>
      </w:r>
    </w:p>
    <w:p w:rsidR="000A66D7" w:rsidRDefault="000A66D7">
      <w:pPr>
        <w:spacing w:before="120" w:after="120" w:line="300" w:lineRule="atLeast"/>
        <w:rPr>
          <w:rFonts w:ascii="Arial Narrow" w:hAnsi="Arial Narrow" w:cs="Arial"/>
          <w:sz w:val="20"/>
        </w:rPr>
      </w:pPr>
      <w:r>
        <w:rPr>
          <w:rFonts w:ascii="Arial Narrow" w:hAnsi="Arial Narrow" w:cs="Arial"/>
          <w:sz w:val="20"/>
        </w:rPr>
        <w:t>Since S11 only admits children who are too ill to be treated at home, the spectrum of disease in the ward reflects the pattern of severe childhood illness in the communities from which they come.</w:t>
      </w:r>
    </w:p>
    <w:p w:rsidR="000A66D7" w:rsidRDefault="000A66D7">
      <w:pPr>
        <w:spacing w:before="120" w:after="120" w:line="300" w:lineRule="atLeast"/>
        <w:rPr>
          <w:rFonts w:ascii="Arial Narrow" w:hAnsi="Arial Narrow" w:cs="Arial"/>
          <w:sz w:val="20"/>
        </w:rPr>
      </w:pPr>
      <w:r>
        <w:rPr>
          <w:rFonts w:ascii="Arial Narrow" w:hAnsi="Arial Narrow" w:cs="Arial"/>
          <w:sz w:val="20"/>
        </w:rPr>
        <w:t xml:space="preserve">Children stay in S11 with their caregivers [usually their mothers] until they are well enough to go home to continue treatment, or – if they need more prolonged hospital treatment </w:t>
      </w:r>
      <w:proofErr w:type="gramStart"/>
      <w:r>
        <w:rPr>
          <w:rFonts w:ascii="Arial Narrow" w:hAnsi="Arial Narrow" w:cs="Arial"/>
          <w:sz w:val="20"/>
        </w:rPr>
        <w:t>–  until</w:t>
      </w:r>
      <w:proofErr w:type="gramEnd"/>
      <w:r>
        <w:rPr>
          <w:rFonts w:ascii="Arial Narrow" w:hAnsi="Arial Narrow" w:cs="Arial"/>
          <w:sz w:val="20"/>
        </w:rPr>
        <w:t xml:space="preserve"> an in-patient bed can be found for them at RCCH or another hospital. In theory their stay in S11 should not be more than 24 hours, but in practice it can be as long as 4 – 5 days because of a general shortage of paediatric beds in the public sector. The ward is often overcrowded with more than 100% bed occupancy.</w:t>
      </w:r>
    </w:p>
    <w:p w:rsidR="000A66D7" w:rsidRDefault="000A66D7">
      <w:pPr>
        <w:spacing w:before="120" w:after="120" w:line="300" w:lineRule="atLeast"/>
        <w:rPr>
          <w:rFonts w:ascii="Arial Narrow" w:hAnsi="Arial Narrow" w:cs="Arial"/>
          <w:sz w:val="20"/>
        </w:rPr>
      </w:pPr>
      <w:r>
        <w:rPr>
          <w:rFonts w:ascii="Arial Narrow" w:hAnsi="Arial Narrow" w:cs="Arial"/>
          <w:sz w:val="20"/>
        </w:rPr>
        <w:t>The ward has 2 sections, A8 and A9. A8 is used mainly as a rehydration facility for dehydrated children with diarrhoea due to gastroenteritis.</w:t>
      </w:r>
      <w:r>
        <w:rPr>
          <w:rStyle w:val="FootnoteReference"/>
          <w:rFonts w:ascii="Arial Narrow" w:hAnsi="Arial Narrow" w:cs="Arial"/>
          <w:sz w:val="20"/>
        </w:rPr>
        <w:footnoteReference w:id="2"/>
      </w:r>
      <w:r>
        <w:rPr>
          <w:rFonts w:ascii="Arial Narrow" w:hAnsi="Arial Narrow" w:cs="Arial"/>
          <w:sz w:val="20"/>
        </w:rPr>
        <w:t xml:space="preserve"> A9 provides short-term care for children with other diseases who are too ill to be treated at home. </w:t>
      </w:r>
    </w:p>
    <w:p w:rsidR="000A66D7" w:rsidRDefault="000A66D7">
      <w:pPr>
        <w:spacing w:before="120" w:after="120" w:line="300" w:lineRule="atLeast"/>
        <w:rPr>
          <w:rFonts w:ascii="Arial Narrow" w:hAnsi="Arial Narrow" w:cs="Arial"/>
          <w:sz w:val="20"/>
        </w:rPr>
      </w:pPr>
      <w:r>
        <w:rPr>
          <w:rFonts w:ascii="Arial Narrow" w:hAnsi="Arial Narrow" w:cs="Arial"/>
          <w:sz w:val="20"/>
        </w:rPr>
        <w:t>The table shows how many patients were admitted to S11 between 2001 &amp; 2008.</w:t>
      </w:r>
    </w:p>
    <w:p w:rsidR="000A66D7" w:rsidRDefault="002F7B5D">
      <w:pPr>
        <w:spacing w:before="120" w:after="120" w:line="300" w:lineRule="atLeast"/>
        <w:rPr>
          <w:rFonts w:ascii="Arial Narrow" w:hAnsi="Arial Narrow" w:cs="Arial"/>
          <w:sz w:val="20"/>
        </w:rPr>
      </w:pPr>
      <w:r>
        <w:rPr>
          <w:rFonts w:ascii="Arial Narrow" w:hAnsi="Arial Narrow" w:cs="Arial"/>
          <w:noProof/>
          <w:sz w:val="20"/>
          <w:lang w:val="en-ZA" w:eastAsia="en-ZA"/>
        </w:rPr>
        <w:lastRenderedPageBreak/>
        <w:drawing>
          <wp:inline distT="0" distB="0" distL="0" distR="0">
            <wp:extent cx="5533390" cy="341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533390" cy="3411220"/>
                    </a:xfrm>
                    <a:prstGeom prst="rect">
                      <a:avLst/>
                    </a:prstGeom>
                    <a:noFill/>
                    <a:ln w="9525">
                      <a:noFill/>
                      <a:miter lim="800000"/>
                      <a:headEnd/>
                      <a:tailEnd/>
                    </a:ln>
                  </pic:spPr>
                </pic:pic>
              </a:graphicData>
            </a:graphic>
          </wp:inline>
        </w:drawing>
      </w:r>
    </w:p>
    <w:p w:rsidR="000A66D7" w:rsidRDefault="000A66D7">
      <w:pPr>
        <w:spacing w:before="120" w:after="120" w:line="300" w:lineRule="atLeast"/>
        <w:rPr>
          <w:rFonts w:ascii="Arial Narrow" w:hAnsi="Arial Narrow" w:cs="Arial"/>
          <w:sz w:val="20"/>
        </w:rPr>
      </w:pPr>
      <w:r>
        <w:rPr>
          <w:rFonts w:ascii="Arial Narrow" w:hAnsi="Arial Narrow" w:cs="Arial"/>
          <w:b/>
          <w:bCs/>
          <w:sz w:val="20"/>
        </w:rPr>
        <w:t xml:space="preserve">Table 1: </w:t>
      </w:r>
      <w:r>
        <w:rPr>
          <w:rFonts w:ascii="Arial Narrow" w:hAnsi="Arial Narrow" w:cs="Arial"/>
          <w:sz w:val="20"/>
        </w:rPr>
        <w:t>admission statistics for ward S11</w:t>
      </w:r>
    </w:p>
    <w:p w:rsidR="000A66D7" w:rsidRDefault="000A66D7">
      <w:pPr>
        <w:spacing w:before="120" w:after="120" w:line="300" w:lineRule="atLeast"/>
        <w:rPr>
          <w:rFonts w:ascii="Arial Narrow" w:hAnsi="Arial Narrow" w:cs="Arial"/>
          <w:sz w:val="20"/>
        </w:rPr>
      </w:pPr>
      <w:r>
        <w:rPr>
          <w:rFonts w:ascii="Arial Narrow" w:hAnsi="Arial Narrow" w:cs="Arial"/>
          <w:sz w:val="20"/>
        </w:rPr>
        <w:t>Over the 7 years between 2001 and 2008 overall admissions increased by 58%, or by 8.2% per year on average. Admissions for gastroenteritis increased by 37% (5</w:t>
      </w:r>
      <w:proofErr w:type="gramStart"/>
      <w:r>
        <w:rPr>
          <w:rFonts w:ascii="Arial Narrow" w:hAnsi="Arial Narrow" w:cs="Arial"/>
          <w:sz w:val="20"/>
        </w:rPr>
        <w:t>,3</w:t>
      </w:r>
      <w:proofErr w:type="gramEnd"/>
      <w:r>
        <w:rPr>
          <w:rFonts w:ascii="Arial Narrow" w:hAnsi="Arial Narrow" w:cs="Arial"/>
          <w:sz w:val="20"/>
        </w:rPr>
        <w:t>% per year), while admissions for other diseases increased by 57% (8.2% per year).</w:t>
      </w:r>
    </w:p>
    <w:p w:rsidR="000A66D7" w:rsidRDefault="000A66D7">
      <w:pPr>
        <w:spacing w:before="120" w:after="120" w:line="300" w:lineRule="atLeast"/>
        <w:rPr>
          <w:rFonts w:ascii="Arial Narrow" w:hAnsi="Arial Narrow" w:cs="Arial"/>
          <w:sz w:val="20"/>
        </w:rPr>
      </w:pPr>
      <w:r>
        <w:rPr>
          <w:rFonts w:ascii="Arial Narrow" w:hAnsi="Arial Narrow" w:cs="Arial"/>
          <w:sz w:val="20"/>
        </w:rPr>
        <w:t>Between 2003 and 2005 the rate of admissions remained static, but in the 3 years since 2005 there has been a more rapid rise in the annual rate of admissions than before 2003. Overall admissions increased by 36% between 2005 and 2008 – an average increase of 12% per year. Admissions for gastroenteritis are up by 22 % (7.2% per year), while admissions for other diseases are up by almost 40% (13.2% per year).</w:t>
      </w:r>
    </w:p>
    <w:p w:rsidR="000A66D7" w:rsidRDefault="000A66D7">
      <w:pPr>
        <w:spacing w:before="120" w:after="120" w:line="300" w:lineRule="atLeast"/>
        <w:rPr>
          <w:rFonts w:ascii="Arial Narrow" w:hAnsi="Arial Narrow" w:cs="Arial"/>
          <w:b/>
          <w:bCs/>
          <w:sz w:val="20"/>
        </w:rPr>
      </w:pPr>
      <w:r>
        <w:rPr>
          <w:rFonts w:ascii="Arial Narrow" w:hAnsi="Arial Narrow" w:cs="Arial"/>
          <w:b/>
          <w:bCs/>
          <w:sz w:val="20"/>
        </w:rPr>
        <w:t>What the figures show</w:t>
      </w:r>
    </w:p>
    <w:p w:rsidR="000A66D7" w:rsidRDefault="000A66D7">
      <w:pPr>
        <w:numPr>
          <w:ilvl w:val="0"/>
          <w:numId w:val="36"/>
        </w:numPr>
        <w:spacing w:before="120" w:after="120" w:line="300" w:lineRule="atLeast"/>
        <w:rPr>
          <w:rFonts w:ascii="Arial Narrow" w:hAnsi="Arial Narrow" w:cs="Arial"/>
          <w:sz w:val="20"/>
        </w:rPr>
      </w:pPr>
      <w:r>
        <w:rPr>
          <w:rFonts w:ascii="Arial Narrow" w:hAnsi="Arial Narrow" w:cs="Arial"/>
          <w:sz w:val="20"/>
        </w:rPr>
        <w:t>Both diarrhoea and non-diarrhoea admissions are increasing.</w:t>
      </w:r>
    </w:p>
    <w:p w:rsidR="000A66D7" w:rsidRDefault="000A66D7">
      <w:pPr>
        <w:numPr>
          <w:ilvl w:val="0"/>
          <w:numId w:val="36"/>
        </w:numPr>
        <w:spacing w:before="120" w:after="120" w:line="300" w:lineRule="atLeast"/>
        <w:rPr>
          <w:rFonts w:ascii="Arial Narrow" w:hAnsi="Arial Narrow" w:cs="Arial"/>
          <w:sz w:val="20"/>
        </w:rPr>
      </w:pPr>
      <w:r>
        <w:rPr>
          <w:rFonts w:ascii="Arial Narrow" w:hAnsi="Arial Narrow" w:cs="Arial"/>
          <w:sz w:val="20"/>
        </w:rPr>
        <w:t>The rates of increase of both have been greater since 2005 than they were before 2003.</w:t>
      </w:r>
    </w:p>
    <w:p w:rsidR="000A66D7" w:rsidRDefault="000A66D7">
      <w:pPr>
        <w:numPr>
          <w:ilvl w:val="0"/>
          <w:numId w:val="36"/>
        </w:numPr>
        <w:spacing w:before="120" w:after="120" w:line="300" w:lineRule="atLeast"/>
        <w:rPr>
          <w:rFonts w:ascii="Arial Narrow" w:hAnsi="Arial Narrow" w:cs="Arial"/>
          <w:sz w:val="20"/>
        </w:rPr>
      </w:pPr>
      <w:r>
        <w:rPr>
          <w:rFonts w:ascii="Arial Narrow" w:hAnsi="Arial Narrow" w:cs="Arial"/>
          <w:sz w:val="20"/>
        </w:rPr>
        <w:t xml:space="preserve">Non-diarrhoea admissions are increasing faster than diarrhoea admissions.  </w:t>
      </w:r>
    </w:p>
    <w:p w:rsidR="000A66D7" w:rsidRDefault="000A66D7">
      <w:pPr>
        <w:tabs>
          <w:tab w:val="left" w:pos="6120"/>
        </w:tabs>
        <w:spacing w:before="120" w:after="120" w:line="300" w:lineRule="atLeast"/>
        <w:rPr>
          <w:rFonts w:ascii="Arial Narrow" w:hAnsi="Arial Narrow" w:cs="Arial"/>
          <w:sz w:val="20"/>
        </w:rPr>
      </w:pPr>
      <w:r>
        <w:rPr>
          <w:rFonts w:ascii="Arial Narrow" w:hAnsi="Arial Narrow" w:cs="Arial"/>
          <w:sz w:val="20"/>
        </w:rPr>
        <w:t xml:space="preserve">A concerted attempt over the past 4 years by the Health Department to mitigate the cases of diarrhoea that require admission through earlier and more aggressive treatment at primary level may account for the relatively lower rate of increase in diarrhoea admissions. </w:t>
      </w:r>
    </w:p>
    <w:p w:rsidR="000A66D7" w:rsidRDefault="000A66D7">
      <w:pPr>
        <w:tabs>
          <w:tab w:val="left" w:pos="6120"/>
        </w:tabs>
        <w:spacing w:before="120" w:after="120" w:line="300" w:lineRule="atLeast"/>
        <w:rPr>
          <w:rFonts w:ascii="Arial Narrow" w:hAnsi="Arial Narrow" w:cs="Arial"/>
          <w:sz w:val="20"/>
        </w:rPr>
      </w:pPr>
      <w:r>
        <w:rPr>
          <w:rFonts w:ascii="Arial Narrow" w:hAnsi="Arial Narrow" w:cs="Arial"/>
          <w:sz w:val="20"/>
        </w:rPr>
        <w:t>However, even these sterling efforts have not stemmed the tide of severe diarrhoea in young children. At the same time admissions from other diseases continue to increase at an alarming rate. This indicates that the underlying determinants of childhood illness, including diarrhoea, are not improving or that they are getting worse. Global experience indicates that these determinants include, but are not limited to, poor water and sanitation, poor food hygiene (no home refrigeration), poor nutrition – leading to reduced immunity to infection, overcrowding in households, and smoky and poorly ventilated homes.</w:t>
      </w:r>
    </w:p>
    <w:p w:rsidR="000A66D7" w:rsidRDefault="000A66D7">
      <w:pPr>
        <w:pStyle w:val="Default"/>
        <w:spacing w:before="120" w:after="120" w:line="300" w:lineRule="atLeast"/>
        <w:rPr>
          <w:rFonts w:ascii="Arial Narrow" w:hAnsi="Arial Narrow" w:cs="Arial"/>
          <w:b/>
          <w:bCs/>
          <w:sz w:val="20"/>
          <w:szCs w:val="22"/>
        </w:rPr>
      </w:pPr>
      <w:r>
        <w:rPr>
          <w:rFonts w:ascii="Arial Narrow" w:hAnsi="Arial Narrow" w:cs="Arial"/>
          <w:b/>
          <w:bCs/>
          <w:sz w:val="20"/>
          <w:szCs w:val="22"/>
        </w:rPr>
        <w:t>Why is there an increase in admissions of very ill children?</w:t>
      </w:r>
    </w:p>
    <w:p w:rsidR="000A66D7" w:rsidRDefault="000A66D7">
      <w:pPr>
        <w:spacing w:before="120" w:after="120" w:line="300" w:lineRule="atLeast"/>
        <w:rPr>
          <w:rFonts w:ascii="Arial Narrow" w:hAnsi="Arial Narrow" w:cs="Arial"/>
          <w:sz w:val="20"/>
        </w:rPr>
      </w:pPr>
      <w:r>
        <w:rPr>
          <w:rFonts w:ascii="Arial Narrow" w:hAnsi="Arial Narrow" w:cs="Arial"/>
          <w:sz w:val="20"/>
        </w:rPr>
        <w:t>The most likely explanations for the growing numbers of admissions for severe childhood illness in the City of Cape Town are (1) an increase in the population, and (2) deteriorating child health, within the drainage area.</w:t>
      </w:r>
    </w:p>
    <w:p w:rsidR="000A66D7" w:rsidRDefault="000A66D7">
      <w:pPr>
        <w:spacing w:before="120" w:after="120" w:line="300" w:lineRule="atLeast"/>
        <w:rPr>
          <w:rFonts w:ascii="Arial Narrow" w:hAnsi="Arial Narrow" w:cs="Arial"/>
          <w:sz w:val="20"/>
        </w:rPr>
      </w:pPr>
    </w:p>
    <w:p w:rsidR="000A66D7" w:rsidRDefault="000A66D7">
      <w:pPr>
        <w:pStyle w:val="bulletpoint"/>
        <w:numPr>
          <w:ilvl w:val="0"/>
          <w:numId w:val="34"/>
        </w:numPr>
        <w:spacing w:before="120" w:after="120" w:line="300" w:lineRule="atLeast"/>
        <w:rPr>
          <w:rFonts w:ascii="Arial Narrow" w:hAnsi="Arial Narrow" w:cs="Arial"/>
          <w:b/>
          <w:bCs/>
          <w:sz w:val="20"/>
          <w:szCs w:val="22"/>
        </w:rPr>
      </w:pPr>
      <w:r>
        <w:rPr>
          <w:rFonts w:ascii="Arial Narrow" w:hAnsi="Arial Narrow" w:cs="Arial"/>
          <w:b/>
          <w:bCs/>
          <w:sz w:val="20"/>
          <w:szCs w:val="22"/>
        </w:rPr>
        <w:t xml:space="preserve">An increasing child population. </w:t>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val="en-GB"/>
        </w:rPr>
        <w:t xml:space="preserve">The </w:t>
      </w:r>
      <w:r>
        <w:rPr>
          <w:rFonts w:ascii="Arial Narrow" w:hAnsi="Arial Narrow" w:cs="Arial"/>
          <w:sz w:val="20"/>
          <w:szCs w:val="22"/>
        </w:rPr>
        <w:t>2007 Community Survey Analysis for Cape Town found that the population of Cape Town grew by</w:t>
      </w:r>
      <w:r>
        <w:rPr>
          <w:rFonts w:ascii="Arial Narrow" w:hAnsi="Arial Narrow" w:cs="Arial"/>
          <w:sz w:val="20"/>
          <w:szCs w:val="22"/>
          <w:lang w:val="en-GB"/>
        </w:rPr>
        <w:t xml:space="preserve"> 20.9% since Census 2001 and 36.4% since Census 1996. While the South African population increased by 8.2% between 2001 and </w:t>
      </w:r>
      <w:r>
        <w:rPr>
          <w:rFonts w:ascii="Arial Narrow" w:hAnsi="Arial Narrow" w:cs="Arial"/>
          <w:sz w:val="20"/>
          <w:szCs w:val="22"/>
          <w:lang w:val="en-GB"/>
        </w:rPr>
        <w:lastRenderedPageBreak/>
        <w:t xml:space="preserve">2007, the Western Cape was the province with the largest increase (16.7%) with 80.2% of the population increase occuring in Cape Town. </w:t>
      </w:r>
      <w:r>
        <w:rPr>
          <w:rStyle w:val="FootnoteReference"/>
          <w:rFonts w:ascii="Arial Narrow" w:hAnsi="Arial Narrow" w:cs="Arial"/>
          <w:sz w:val="20"/>
          <w:szCs w:val="22"/>
          <w:lang w:val="en-GB"/>
        </w:rPr>
        <w:footnoteReference w:id="3"/>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val="en-GB"/>
        </w:rPr>
        <w:t>The accelerated growth in Cape Town's population has been overwhelmingly among the black African group (Figure 1), and in the informal periurban settlements such as Khayelitsha. These areas are the source of the overwhelming majority of Ward S11 admissions.</w:t>
      </w:r>
    </w:p>
    <w:p w:rsidR="000A66D7" w:rsidRDefault="002F7B5D">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eastAsia="en-ZA"/>
        </w:rPr>
        <w:drawing>
          <wp:inline distT="0" distB="0" distL="0" distR="0">
            <wp:extent cx="5205095" cy="27666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205095" cy="2766695"/>
                    </a:xfrm>
                    <a:prstGeom prst="rect">
                      <a:avLst/>
                    </a:prstGeom>
                    <a:noFill/>
                    <a:ln w="9525">
                      <a:noFill/>
                      <a:miter lim="800000"/>
                      <a:headEnd/>
                      <a:tailEnd/>
                    </a:ln>
                  </pic:spPr>
                </pic:pic>
              </a:graphicData>
            </a:graphic>
          </wp:inline>
        </w:drawing>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b/>
          <w:bCs/>
          <w:sz w:val="20"/>
          <w:szCs w:val="22"/>
          <w:lang w:val="en-GB"/>
        </w:rPr>
        <w:t>Figure 1</w:t>
      </w:r>
      <w:r>
        <w:rPr>
          <w:rFonts w:ascii="Arial Narrow" w:hAnsi="Arial Narrow" w:cs="Arial"/>
          <w:sz w:val="20"/>
          <w:szCs w:val="22"/>
          <w:lang w:val="en-GB"/>
        </w:rPr>
        <w:t>: inward migration to Cape Town by population group</w:t>
      </w:r>
    </w:p>
    <w:p w:rsidR="000A66D7" w:rsidRDefault="000A66D7">
      <w:pPr>
        <w:pStyle w:val="bulletpoint"/>
        <w:numPr>
          <w:ilvl w:val="0"/>
          <w:numId w:val="0"/>
        </w:numPr>
        <w:spacing w:before="120" w:after="120" w:line="300" w:lineRule="atLeast"/>
        <w:ind w:left="720"/>
        <w:rPr>
          <w:rFonts w:ascii="Arial Narrow" w:hAnsi="Arial Narrow" w:cs="Arial"/>
          <w:sz w:val="20"/>
          <w:szCs w:val="22"/>
        </w:rPr>
      </w:pPr>
      <w:r>
        <w:rPr>
          <w:rFonts w:ascii="Arial Narrow" w:hAnsi="Arial Narrow" w:cs="Arial"/>
          <w:sz w:val="20"/>
          <w:szCs w:val="22"/>
          <w:lang w:val="en-GB"/>
        </w:rPr>
        <w:t xml:space="preserve">Inward migration, particularly from the Eastern Cape and from outside South Africa accounts for a large proportion of the population increase. About 27% of the immigrants are children under the age of 14, with 14.4% being under 5 years old. In addition to inward migration there </w:t>
      </w:r>
      <w:r>
        <w:rPr>
          <w:rFonts w:ascii="Arial Narrow" w:hAnsi="Arial Narrow" w:cs="Arial"/>
          <w:sz w:val="20"/>
          <w:szCs w:val="22"/>
        </w:rPr>
        <w:t>has been a 10 to15% per year increase in the the numbers of births in the Cape Town Metropolitan area over the past 3 years.</w:t>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p>
    <w:p w:rsidR="000A66D7" w:rsidRDefault="000A66D7">
      <w:pPr>
        <w:pStyle w:val="bulletpoint"/>
        <w:numPr>
          <w:ilvl w:val="0"/>
          <w:numId w:val="34"/>
        </w:numPr>
        <w:spacing w:before="120" w:after="120" w:line="300" w:lineRule="atLeast"/>
        <w:rPr>
          <w:rFonts w:ascii="Arial Narrow" w:hAnsi="Arial Narrow" w:cs="Arial"/>
          <w:b/>
          <w:bCs/>
          <w:sz w:val="20"/>
          <w:szCs w:val="22"/>
        </w:rPr>
      </w:pPr>
      <w:r>
        <w:rPr>
          <w:rFonts w:ascii="Arial Narrow" w:hAnsi="Arial Narrow" w:cs="Arial"/>
          <w:b/>
          <w:bCs/>
          <w:sz w:val="20"/>
          <w:szCs w:val="22"/>
        </w:rPr>
        <w:t>Deteriorating child health, resulting in more childhood disease.</w:t>
      </w:r>
    </w:p>
    <w:p w:rsidR="000A66D7" w:rsidRDefault="000A66D7">
      <w:pPr>
        <w:pStyle w:val="bulletpoint"/>
        <w:numPr>
          <w:ilvl w:val="0"/>
          <w:numId w:val="0"/>
        </w:numPr>
        <w:spacing w:before="120" w:after="120" w:line="300" w:lineRule="atLeast"/>
        <w:ind w:left="720"/>
        <w:rPr>
          <w:rFonts w:ascii="Arial Narrow" w:hAnsi="Arial Narrow" w:cs="Arial"/>
          <w:sz w:val="20"/>
          <w:szCs w:val="22"/>
        </w:rPr>
      </w:pPr>
      <w:r>
        <w:rPr>
          <w:rFonts w:ascii="Arial Narrow" w:hAnsi="Arial Narrow" w:cs="Arial"/>
          <w:sz w:val="20"/>
          <w:szCs w:val="22"/>
        </w:rPr>
        <w:t xml:space="preserve">Most of the children come from Khayelitsha and other informal settlements areas where poverty and lack of adequate clean water and sanitation, as well as </w:t>
      </w:r>
      <w:r>
        <w:rPr>
          <w:rFonts w:ascii="Arial Narrow" w:hAnsi="Arial Narrow" w:cs="Arial"/>
          <w:sz w:val="20"/>
        </w:rPr>
        <w:t xml:space="preserve">inadequately ventilated and overcrowded housing, </w:t>
      </w:r>
      <w:r>
        <w:rPr>
          <w:rFonts w:ascii="Arial Narrow" w:hAnsi="Arial Narrow" w:cs="Arial"/>
          <w:sz w:val="20"/>
          <w:szCs w:val="22"/>
        </w:rPr>
        <w:t xml:space="preserve">create conditions that make children highly vulnerable to severe illness, including diarrhoea, pneumonia and tuberculosis. </w:t>
      </w:r>
    </w:p>
    <w:p w:rsidR="000A66D7" w:rsidRDefault="000A66D7">
      <w:pPr>
        <w:pStyle w:val="bulletpoint"/>
        <w:keepNext/>
        <w:numPr>
          <w:ilvl w:val="0"/>
          <w:numId w:val="0"/>
        </w:numPr>
        <w:spacing w:before="120" w:after="120" w:line="300" w:lineRule="atLeast"/>
        <w:ind w:left="720"/>
        <w:rPr>
          <w:rFonts w:ascii="Arial Narrow" w:hAnsi="Arial Narrow" w:cs="Arial"/>
          <w:b/>
          <w:bCs/>
          <w:i/>
          <w:iCs/>
          <w:sz w:val="20"/>
          <w:szCs w:val="22"/>
          <w:lang w:val="en-GB"/>
        </w:rPr>
      </w:pPr>
      <w:r>
        <w:rPr>
          <w:rFonts w:ascii="Arial Narrow" w:hAnsi="Arial Narrow" w:cs="Arial"/>
          <w:b/>
          <w:bCs/>
          <w:i/>
          <w:iCs/>
          <w:sz w:val="20"/>
          <w:szCs w:val="22"/>
          <w:lang w:val="en-GB"/>
        </w:rPr>
        <w:t xml:space="preserve">Water: </w:t>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val="en-GB"/>
        </w:rPr>
        <w:t xml:space="preserve">The Community Survey analysis found that by 2007 over 99% of households in all race groups had access to piped water. Piped water was available in the dwelling in 80.5%, in the yard in 10.6% and outside the yard in 8.4%. </w:t>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val="en-GB"/>
        </w:rPr>
        <w:t xml:space="preserve">Among Black African households, however, only 52.6% had piped water in the dwelling by 2007. </w:t>
      </w:r>
      <w:r>
        <w:rPr>
          <w:rFonts w:ascii="Arial Narrow" w:hAnsi="Arial Narrow" w:cs="Arial"/>
          <w:sz w:val="20"/>
          <w:szCs w:val="22"/>
        </w:rPr>
        <w:t>In some areas up 90 to 100 households, or 300 to 400 people share a single standpipe. Research done in several parts of the world indicate that, where a water source is distant</w:t>
      </w:r>
      <w:r>
        <w:rPr>
          <w:rFonts w:ascii="Arial Narrow" w:hAnsi="Arial Narrow" w:cs="Arial"/>
          <w:sz w:val="20"/>
          <w:szCs w:val="22"/>
          <w:lang w:val="en-GB"/>
        </w:rPr>
        <w:t xml:space="preserve"> or shared amongst many, water usage declines.</w:t>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val="en-GB"/>
        </w:rPr>
        <w:t>Having access to sufficient volumes of water for personal and food hygiene reduces the risk of water-related diseases such as diarrhoea and skin infections and increases quality of life.</w:t>
      </w:r>
      <w:r>
        <w:rPr>
          <w:rStyle w:val="FootnoteReference"/>
          <w:rFonts w:ascii="Arial Narrow" w:hAnsi="Arial Narrow" w:cs="Arial"/>
          <w:sz w:val="20"/>
          <w:szCs w:val="22"/>
          <w:lang w:val="en-GB"/>
        </w:rPr>
        <w:footnoteReference w:id="4"/>
      </w:r>
      <w:r>
        <w:rPr>
          <w:rFonts w:ascii="Arial Narrow" w:hAnsi="Arial Narrow" w:cs="Arial"/>
          <w:sz w:val="20"/>
          <w:szCs w:val="22"/>
          <w:lang w:val="en-GB"/>
        </w:rPr>
        <w:t xml:space="preserve">  </w:t>
      </w:r>
      <w:r>
        <w:rPr>
          <w:rStyle w:val="FootnoteReference"/>
          <w:rFonts w:ascii="Arial Narrow" w:hAnsi="Arial Narrow" w:cs="Arial"/>
          <w:sz w:val="20"/>
          <w:szCs w:val="22"/>
          <w:lang w:val="en-GB"/>
        </w:rPr>
        <w:footnoteReference w:id="5"/>
      </w:r>
    </w:p>
    <w:p w:rsidR="000A66D7" w:rsidRDefault="000A66D7">
      <w:pPr>
        <w:pStyle w:val="bulletpoint"/>
        <w:numPr>
          <w:ilvl w:val="0"/>
          <w:numId w:val="0"/>
        </w:numPr>
        <w:spacing w:before="120" w:after="120" w:line="300" w:lineRule="atLeast"/>
        <w:ind w:left="720"/>
        <w:rPr>
          <w:rFonts w:ascii="Arial Narrow" w:hAnsi="Arial Narrow" w:cs="Arial"/>
          <w:b/>
          <w:bCs/>
          <w:i/>
          <w:iCs/>
          <w:sz w:val="20"/>
          <w:szCs w:val="22"/>
          <w:lang w:val="en-GB"/>
        </w:rPr>
      </w:pPr>
      <w:r>
        <w:rPr>
          <w:rFonts w:ascii="Arial Narrow" w:hAnsi="Arial Narrow" w:cs="Arial"/>
          <w:b/>
          <w:bCs/>
          <w:i/>
          <w:iCs/>
          <w:sz w:val="20"/>
          <w:szCs w:val="22"/>
          <w:lang w:val="en-GB"/>
        </w:rPr>
        <w:lastRenderedPageBreak/>
        <w:t>Sanitation:</w:t>
      </w:r>
    </w:p>
    <w:p w:rsidR="000A66D7" w:rsidRDefault="000A66D7">
      <w:pPr>
        <w:pStyle w:val="bulletpoint"/>
        <w:numPr>
          <w:ilvl w:val="0"/>
          <w:numId w:val="0"/>
        </w:numPr>
        <w:spacing w:before="120" w:after="120" w:line="300" w:lineRule="atLeast"/>
        <w:ind w:left="720"/>
        <w:rPr>
          <w:rFonts w:ascii="Arial Narrow" w:hAnsi="Arial Narrow" w:cs="Arial"/>
          <w:sz w:val="20"/>
          <w:szCs w:val="22"/>
        </w:rPr>
      </w:pPr>
      <w:r>
        <w:rPr>
          <w:rFonts w:ascii="Arial Narrow" w:hAnsi="Arial Narrow" w:cs="Arial"/>
          <w:sz w:val="20"/>
          <w:szCs w:val="22"/>
          <w:lang w:val="en-GB"/>
        </w:rPr>
        <w:t>Households without adequate toilet facilities are more vulnerable to diseases and epidemics.</w:t>
      </w:r>
      <w:r>
        <w:rPr>
          <w:rStyle w:val="FootnoteReference"/>
          <w:rFonts w:ascii="Arial Narrow" w:hAnsi="Arial Narrow" w:cs="Arial"/>
          <w:sz w:val="20"/>
          <w:szCs w:val="22"/>
          <w:lang w:val="en-GB"/>
        </w:rPr>
        <w:footnoteReference w:id="6"/>
      </w:r>
      <w:r>
        <w:rPr>
          <w:rFonts w:ascii="Arial Narrow" w:hAnsi="Arial Narrow" w:cs="Arial"/>
          <w:sz w:val="20"/>
          <w:szCs w:val="22"/>
          <w:lang w:val="en-GB"/>
        </w:rPr>
        <w:t xml:space="preserve">  </w:t>
      </w:r>
      <w:r>
        <w:rPr>
          <w:rStyle w:val="FootnoteReference"/>
          <w:rFonts w:ascii="Arial Narrow" w:hAnsi="Arial Narrow" w:cs="Arial"/>
          <w:sz w:val="20"/>
          <w:szCs w:val="22"/>
          <w:lang w:val="en-GB"/>
        </w:rPr>
        <w:footnoteReference w:id="7"/>
      </w:r>
      <w:r>
        <w:rPr>
          <w:rFonts w:ascii="Arial Narrow" w:hAnsi="Arial Narrow" w:cs="Arial"/>
          <w:sz w:val="20"/>
          <w:szCs w:val="22"/>
          <w:lang w:val="en-GB"/>
        </w:rPr>
        <w:t>Pollution of waterways and wetlands increases and this puts a large percentage of the population at risk of contracting water born diseases. These increase the need for additional health care facilities.</w:t>
      </w:r>
    </w:p>
    <w:p w:rsidR="000A66D7" w:rsidRDefault="000A66D7">
      <w:pPr>
        <w:pStyle w:val="bulletpoint"/>
        <w:numPr>
          <w:ilvl w:val="0"/>
          <w:numId w:val="0"/>
        </w:numPr>
        <w:spacing w:before="120" w:after="120" w:line="300" w:lineRule="atLeast"/>
        <w:ind w:left="720"/>
        <w:rPr>
          <w:rFonts w:ascii="Arial Narrow" w:hAnsi="Arial Narrow" w:cs="Arial"/>
          <w:sz w:val="20"/>
          <w:szCs w:val="22"/>
          <w:lang w:val="en-GB"/>
        </w:rPr>
      </w:pPr>
      <w:r>
        <w:rPr>
          <w:rFonts w:ascii="Arial Narrow" w:hAnsi="Arial Narrow" w:cs="Arial"/>
          <w:sz w:val="20"/>
          <w:szCs w:val="22"/>
          <w:lang w:val="en-GB"/>
        </w:rPr>
        <w:t>In 2007 6.9% of Black African household used bucket toilets, while 9.1% had no toilet facilities.</w:t>
      </w:r>
    </w:p>
    <w:p w:rsidR="000A66D7" w:rsidRDefault="000A66D7">
      <w:pPr>
        <w:pStyle w:val="bulletpoint"/>
        <w:numPr>
          <w:ilvl w:val="0"/>
          <w:numId w:val="0"/>
        </w:numPr>
        <w:spacing w:before="120" w:after="120" w:line="300" w:lineRule="atLeast"/>
        <w:rPr>
          <w:rFonts w:ascii="Arial Narrow" w:hAnsi="Arial Narrow" w:cs="Arial"/>
          <w:sz w:val="20"/>
          <w:szCs w:val="22"/>
        </w:rPr>
      </w:pPr>
      <w:r>
        <w:rPr>
          <w:rFonts w:ascii="Arial Narrow" w:hAnsi="Arial Narrow" w:cs="Arial"/>
          <w:sz w:val="20"/>
          <w:szCs w:val="22"/>
        </w:rPr>
        <w:t xml:space="preserve">It is therefore highly likely that the population of small children in the Cape Town Metropolitan Area who are highly vulnerable to severe illness is growing rapidly. In addition, the determinants of child health in specific areas of the metropolitan area are not improving fast enough, and conditions that make children sick persist. </w:t>
      </w:r>
    </w:p>
    <w:p w:rsidR="000A66D7" w:rsidRDefault="000A66D7">
      <w:pPr>
        <w:pStyle w:val="bulletpoint"/>
        <w:numPr>
          <w:ilvl w:val="0"/>
          <w:numId w:val="0"/>
        </w:numPr>
        <w:spacing w:before="120" w:after="120" w:line="300" w:lineRule="atLeast"/>
        <w:rPr>
          <w:rFonts w:ascii="Arial Narrow" w:hAnsi="Arial Narrow" w:cs="Arial"/>
          <w:b/>
          <w:bCs/>
          <w:sz w:val="20"/>
          <w:szCs w:val="22"/>
        </w:rPr>
      </w:pPr>
      <w:r>
        <w:rPr>
          <w:rFonts w:ascii="Arial Narrow" w:hAnsi="Arial Narrow" w:cs="Arial"/>
          <w:sz w:val="20"/>
          <w:szCs w:val="22"/>
        </w:rPr>
        <w:t>As a result, Cape Town's children are getting sicker, and the load on the health system is growing.</w:t>
      </w:r>
    </w:p>
    <w:p w:rsidR="000A66D7" w:rsidRDefault="000A66D7">
      <w:pPr>
        <w:pStyle w:val="bulletpoint"/>
        <w:numPr>
          <w:ilvl w:val="0"/>
          <w:numId w:val="0"/>
        </w:numPr>
        <w:spacing w:before="120" w:after="120" w:line="300" w:lineRule="atLeast"/>
        <w:rPr>
          <w:rFonts w:ascii="Arial Narrow" w:hAnsi="Arial Narrow" w:cs="Arial"/>
          <w:sz w:val="20"/>
          <w:szCs w:val="22"/>
          <w:lang w:val="en-GB"/>
        </w:rPr>
      </w:pPr>
    </w:p>
    <w:p w:rsidR="000A66D7" w:rsidRDefault="000A66D7">
      <w:pPr>
        <w:pStyle w:val="Default"/>
        <w:spacing w:before="120" w:after="120" w:line="300" w:lineRule="atLeast"/>
        <w:jc w:val="both"/>
        <w:rPr>
          <w:rFonts w:ascii="Arial Narrow" w:hAnsi="Arial Narrow" w:cs="Arial"/>
          <w:b/>
          <w:bCs/>
          <w:sz w:val="20"/>
          <w:szCs w:val="22"/>
        </w:rPr>
      </w:pPr>
      <w:r>
        <w:rPr>
          <w:rFonts w:ascii="Arial Narrow" w:hAnsi="Arial Narrow" w:cs="Arial"/>
          <w:b/>
          <w:bCs/>
          <w:sz w:val="20"/>
          <w:szCs w:val="22"/>
        </w:rPr>
        <w:t>What do these trends tell us about the implementation of the rights in the Bill of Rights?</w:t>
      </w:r>
    </w:p>
    <w:p w:rsidR="000A66D7" w:rsidRDefault="000A66D7">
      <w:pPr>
        <w:pStyle w:val="Default"/>
        <w:spacing w:before="120" w:after="120" w:line="300" w:lineRule="atLeast"/>
        <w:jc w:val="both"/>
        <w:rPr>
          <w:rFonts w:ascii="Arial Narrow" w:hAnsi="Arial Narrow" w:cs="Arial"/>
          <w:sz w:val="20"/>
          <w:szCs w:val="22"/>
        </w:rPr>
      </w:pPr>
      <w:r>
        <w:rPr>
          <w:rFonts w:ascii="Arial Narrow" w:hAnsi="Arial Narrow" w:cs="Arial"/>
          <w:sz w:val="20"/>
          <w:szCs w:val="22"/>
          <w:lang w:val="en-GB"/>
        </w:rPr>
        <w:t>Not only are Cape Town's children getting sicker, but</w:t>
      </w:r>
      <w:r>
        <w:rPr>
          <w:rFonts w:ascii="Arial Narrow" w:hAnsi="Arial Narrow" w:cs="Arial"/>
          <w:sz w:val="20"/>
          <w:szCs w:val="22"/>
        </w:rPr>
        <w:t xml:space="preserve"> the impact of the increasing admissions is also putting severe stress on the hospital staff and affecting the quality of their care. This has implications for the following rights in the Bill of Rights:</w:t>
      </w:r>
    </w:p>
    <w:p w:rsidR="000A66D7" w:rsidRDefault="000A66D7">
      <w:pPr>
        <w:pStyle w:val="Default"/>
        <w:numPr>
          <w:ilvl w:val="0"/>
          <w:numId w:val="35"/>
        </w:numPr>
        <w:spacing w:before="120" w:after="120" w:line="300" w:lineRule="atLeast"/>
        <w:jc w:val="both"/>
        <w:rPr>
          <w:rFonts w:ascii="Arial Narrow" w:hAnsi="Arial Narrow" w:cs="Arial"/>
          <w:i/>
          <w:iCs/>
          <w:sz w:val="20"/>
          <w:szCs w:val="22"/>
        </w:rPr>
      </w:pPr>
      <w:r>
        <w:rPr>
          <w:rFonts w:ascii="Arial Narrow" w:hAnsi="Arial Narrow" w:cs="Arial"/>
          <w:i/>
          <w:iCs/>
          <w:sz w:val="20"/>
          <w:szCs w:val="22"/>
        </w:rPr>
        <w:t xml:space="preserve">Section 28 (1) </w:t>
      </w:r>
      <w:proofErr w:type="gramStart"/>
      <w:r>
        <w:rPr>
          <w:rFonts w:ascii="Arial Narrow" w:hAnsi="Arial Narrow" w:cs="Arial"/>
          <w:i/>
          <w:iCs/>
          <w:sz w:val="20"/>
          <w:szCs w:val="22"/>
        </w:rPr>
        <w:t>Every</w:t>
      </w:r>
      <w:proofErr w:type="gramEnd"/>
      <w:r>
        <w:rPr>
          <w:rFonts w:ascii="Arial Narrow" w:hAnsi="Arial Narrow" w:cs="Arial"/>
          <w:i/>
          <w:iCs/>
          <w:sz w:val="20"/>
          <w:szCs w:val="22"/>
        </w:rPr>
        <w:t xml:space="preserve"> child has the right … (c) to basic nutrition, shelter, basic health care services and social services. </w:t>
      </w:r>
    </w:p>
    <w:p w:rsidR="000A66D7" w:rsidRDefault="000A66D7">
      <w:pPr>
        <w:pStyle w:val="Default"/>
        <w:spacing w:before="120" w:after="120" w:line="300" w:lineRule="atLeast"/>
        <w:ind w:left="720"/>
        <w:jc w:val="both"/>
        <w:rPr>
          <w:rFonts w:ascii="Arial Narrow" w:hAnsi="Arial Narrow" w:cs="Arial"/>
          <w:sz w:val="20"/>
          <w:szCs w:val="22"/>
        </w:rPr>
      </w:pPr>
      <w:r>
        <w:rPr>
          <w:rFonts w:ascii="Arial Narrow" w:hAnsi="Arial Narrow" w:cs="Arial"/>
          <w:sz w:val="20"/>
          <w:szCs w:val="22"/>
        </w:rPr>
        <w:t xml:space="preserve">Though the RCCH is seen by some as a tertiary referral hospital, the majority of patients in Ward S11 are receiving the kind of acute care that should be available within the community: oxygen, antibiotics, and correction of dehydration. This is basic health care. </w:t>
      </w:r>
    </w:p>
    <w:p w:rsidR="000A66D7" w:rsidRDefault="000A66D7">
      <w:pPr>
        <w:pStyle w:val="Default"/>
        <w:spacing w:before="120" w:after="120" w:line="300" w:lineRule="atLeast"/>
        <w:ind w:left="720"/>
        <w:jc w:val="both"/>
        <w:rPr>
          <w:rFonts w:ascii="Arial Narrow" w:hAnsi="Arial Narrow" w:cs="Arial"/>
          <w:sz w:val="20"/>
          <w:szCs w:val="22"/>
        </w:rPr>
      </w:pPr>
      <w:r>
        <w:rPr>
          <w:rFonts w:ascii="Arial Narrow" w:hAnsi="Arial Narrow" w:cs="Arial"/>
          <w:sz w:val="20"/>
          <w:szCs w:val="22"/>
        </w:rPr>
        <w:t>Furthermore, if 'basic health care' includes safety in the clinical setting, then there is an additional argument supporting the idea that children in S11 are not enjoying the right to basic health care. They are at risk of hospital-acquired infection, as will be shown below.</w:t>
      </w:r>
    </w:p>
    <w:p w:rsidR="000A66D7" w:rsidRDefault="000A66D7">
      <w:pPr>
        <w:pStyle w:val="Default"/>
        <w:numPr>
          <w:ilvl w:val="0"/>
          <w:numId w:val="35"/>
        </w:numPr>
        <w:spacing w:before="120" w:after="120" w:line="300" w:lineRule="atLeast"/>
        <w:jc w:val="both"/>
        <w:rPr>
          <w:rFonts w:ascii="Arial Narrow" w:hAnsi="Arial Narrow" w:cs="Arial"/>
          <w:i/>
          <w:iCs/>
          <w:sz w:val="20"/>
          <w:szCs w:val="22"/>
        </w:rPr>
      </w:pPr>
      <w:r>
        <w:rPr>
          <w:rFonts w:ascii="Arial Narrow" w:hAnsi="Arial Narrow" w:cs="Arial"/>
          <w:i/>
          <w:iCs/>
          <w:sz w:val="20"/>
          <w:szCs w:val="22"/>
        </w:rPr>
        <w:t xml:space="preserve">Section 28 (2): A child’s best interests are of paramount importance in every matter concerning the child. </w:t>
      </w:r>
    </w:p>
    <w:p w:rsidR="000A66D7" w:rsidRDefault="000A66D7">
      <w:pPr>
        <w:pStyle w:val="Default"/>
        <w:spacing w:before="120" w:after="120" w:line="300" w:lineRule="atLeast"/>
        <w:ind w:left="720"/>
        <w:jc w:val="both"/>
        <w:rPr>
          <w:rFonts w:ascii="Arial Narrow" w:hAnsi="Arial Narrow" w:cs="Arial"/>
          <w:sz w:val="20"/>
          <w:szCs w:val="22"/>
        </w:rPr>
      </w:pPr>
      <w:r>
        <w:rPr>
          <w:rFonts w:ascii="Arial Narrow" w:hAnsi="Arial Narrow" w:cs="Arial"/>
          <w:sz w:val="20"/>
          <w:szCs w:val="22"/>
        </w:rPr>
        <w:t xml:space="preserve">The intention here is the same as that contained in Article 3 of the UN Convention on the Rights of the Child. </w:t>
      </w:r>
    </w:p>
    <w:p w:rsidR="000A66D7" w:rsidRDefault="000A66D7">
      <w:pPr>
        <w:pStyle w:val="Default"/>
        <w:spacing w:before="120" w:after="120" w:line="300" w:lineRule="atLeast"/>
        <w:ind w:left="720"/>
        <w:jc w:val="both"/>
        <w:rPr>
          <w:rFonts w:ascii="Arial Narrow" w:hAnsi="Arial Narrow" w:cs="Arial"/>
          <w:sz w:val="20"/>
          <w:szCs w:val="22"/>
        </w:rPr>
      </w:pPr>
      <w:r>
        <w:rPr>
          <w:rFonts w:ascii="Arial Narrow" w:hAnsi="Arial Narrow" w:cs="Arial"/>
          <w:sz w:val="20"/>
          <w:szCs w:val="22"/>
        </w:rPr>
        <w:t xml:space="preserve">In giving meaning to the 'best interests' principle, Article 3 of the UNCRC states that </w:t>
      </w:r>
    </w:p>
    <w:p w:rsidR="000A66D7" w:rsidRDefault="000A66D7">
      <w:pPr>
        <w:pStyle w:val="Default"/>
        <w:spacing w:before="120" w:after="120" w:line="300" w:lineRule="atLeast"/>
        <w:ind w:left="1440"/>
        <w:jc w:val="both"/>
        <w:rPr>
          <w:rFonts w:ascii="Arial Narrow" w:hAnsi="Arial Narrow" w:cs="Arial"/>
          <w:i/>
          <w:sz w:val="20"/>
          <w:szCs w:val="22"/>
        </w:rPr>
      </w:pPr>
      <w:r>
        <w:rPr>
          <w:rFonts w:ascii="Arial Narrow" w:hAnsi="Arial Narrow" w:cs="Arial"/>
          <w:i/>
          <w:sz w:val="20"/>
          <w:szCs w:val="22"/>
        </w:rPr>
        <w:t>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p>
    <w:p w:rsidR="000A66D7" w:rsidRDefault="000A66D7">
      <w:pPr>
        <w:pStyle w:val="Default"/>
        <w:spacing w:before="120" w:after="120" w:line="300" w:lineRule="atLeast"/>
        <w:ind w:left="720"/>
        <w:jc w:val="both"/>
        <w:rPr>
          <w:rFonts w:ascii="Arial Narrow" w:hAnsi="Arial Narrow" w:cs="Arial"/>
          <w:iCs/>
          <w:sz w:val="20"/>
          <w:szCs w:val="22"/>
        </w:rPr>
      </w:pPr>
      <w:r>
        <w:rPr>
          <w:rFonts w:ascii="Arial Narrow" w:hAnsi="Arial Narrow" w:cs="Arial"/>
          <w:iCs/>
          <w:sz w:val="20"/>
          <w:szCs w:val="22"/>
        </w:rPr>
        <w:t xml:space="preserve">It has become impossible to maintain adequate safety measures and standards of care. Facilities are crowded with patients too close to each other to prevent infections from spreading from patient to patient and even to staff members. </w:t>
      </w:r>
    </w:p>
    <w:p w:rsidR="000A66D7" w:rsidRDefault="000A66D7">
      <w:pPr>
        <w:pStyle w:val="Default"/>
        <w:spacing w:before="120" w:after="120" w:line="300" w:lineRule="atLeast"/>
        <w:ind w:left="720"/>
        <w:jc w:val="both"/>
        <w:rPr>
          <w:rFonts w:ascii="Arial Narrow" w:hAnsi="Arial Narrow" w:cs="Arial"/>
          <w:iCs/>
          <w:sz w:val="20"/>
          <w:szCs w:val="22"/>
        </w:rPr>
      </w:pPr>
      <w:r>
        <w:rPr>
          <w:rFonts w:ascii="Arial Narrow" w:hAnsi="Arial Narrow" w:cs="Arial"/>
          <w:iCs/>
          <w:sz w:val="20"/>
          <w:szCs w:val="22"/>
        </w:rPr>
        <w:t>Despite clear evidence of progressive increases in the clinical load at the RCCH (as well as other health care facilities) there has been a steady attrition in the staff numbers, including nurses, physiotherapists, social workers and others. The reasons include poor working conditions, poor pay, job dissatisfaction, falling morale, increasing levels of stress, and frozen posts.</w:t>
      </w:r>
    </w:p>
    <w:p w:rsidR="000A66D7" w:rsidRDefault="000A66D7">
      <w:pPr>
        <w:pStyle w:val="Default"/>
        <w:numPr>
          <w:ilvl w:val="0"/>
          <w:numId w:val="35"/>
        </w:numPr>
        <w:spacing w:line="300" w:lineRule="atLeast"/>
        <w:jc w:val="both"/>
        <w:rPr>
          <w:rFonts w:ascii="Arial Narrow" w:hAnsi="Arial Narrow" w:cs="Arial"/>
          <w:sz w:val="20"/>
          <w:szCs w:val="22"/>
        </w:rPr>
      </w:pPr>
      <w:r>
        <w:rPr>
          <w:rFonts w:ascii="Arial Narrow" w:hAnsi="Arial Narrow" w:cs="Arial"/>
          <w:i/>
          <w:iCs/>
          <w:sz w:val="20"/>
          <w:szCs w:val="22"/>
        </w:rPr>
        <w:t xml:space="preserve">Section 24 (a): Everyone has the right (a) to an environment that is not harmful to their health or well-being. </w:t>
      </w:r>
      <w:r>
        <w:rPr>
          <w:rFonts w:ascii="Arial Narrow" w:hAnsi="Arial Narrow" w:cs="Arial"/>
          <w:sz w:val="20"/>
          <w:szCs w:val="22"/>
        </w:rPr>
        <w:t>As a result of overcrowding and understaffing, children in Ward S11 find themselves in an extremely dangerous environment. The following paragraphs illustrate this.</w:t>
      </w:r>
    </w:p>
    <w:p w:rsidR="000A66D7" w:rsidRDefault="000A66D7">
      <w:pPr>
        <w:pStyle w:val="Default"/>
        <w:spacing w:line="300" w:lineRule="atLeast"/>
        <w:rPr>
          <w:rFonts w:ascii="Arial Narrow" w:hAnsi="Arial Narrow" w:cs="Arial"/>
          <w:sz w:val="20"/>
          <w:szCs w:val="22"/>
        </w:rPr>
      </w:pPr>
    </w:p>
    <w:p w:rsidR="000A66D7" w:rsidRDefault="000A66D7">
      <w:pPr>
        <w:pStyle w:val="Default"/>
        <w:spacing w:line="300" w:lineRule="atLeast"/>
        <w:rPr>
          <w:rFonts w:ascii="Arial Narrow" w:hAnsi="Arial Narrow" w:cs="Arial"/>
          <w:sz w:val="20"/>
          <w:szCs w:val="22"/>
        </w:rPr>
      </w:pPr>
      <w:r>
        <w:rPr>
          <w:rFonts w:ascii="Arial Narrow" w:hAnsi="Arial Narrow" w:cs="Arial"/>
          <w:sz w:val="20"/>
          <w:szCs w:val="22"/>
        </w:rPr>
        <w:t xml:space="preserve">Between February and May 2009, 10 children in Ward S11 were found to have become infected with a highly antibiotic-resistant organism, ESBL </w:t>
      </w:r>
      <w:proofErr w:type="spellStart"/>
      <w:r>
        <w:rPr>
          <w:rFonts w:ascii="Arial Narrow" w:hAnsi="Arial Narrow" w:cs="Arial"/>
          <w:sz w:val="20"/>
          <w:szCs w:val="22"/>
        </w:rPr>
        <w:t>Klebsiella</w:t>
      </w:r>
      <w:proofErr w:type="spellEnd"/>
      <w:r>
        <w:rPr>
          <w:rFonts w:ascii="Arial Narrow" w:hAnsi="Arial Narrow" w:cs="Arial"/>
          <w:sz w:val="20"/>
          <w:szCs w:val="22"/>
        </w:rPr>
        <w:t xml:space="preserve">. Two of these children died as a result of the infection. A senior paediatrician at the hospital says </w:t>
      </w:r>
    </w:p>
    <w:p w:rsidR="000A66D7" w:rsidRDefault="000A66D7">
      <w:pPr>
        <w:pStyle w:val="Default"/>
        <w:spacing w:line="300" w:lineRule="atLeast"/>
        <w:rPr>
          <w:rFonts w:ascii="Arial Narrow" w:hAnsi="Arial Narrow" w:cs="Arial"/>
          <w:sz w:val="20"/>
          <w:szCs w:val="22"/>
        </w:rPr>
      </w:pPr>
    </w:p>
    <w:p w:rsidR="000A66D7" w:rsidRDefault="000A66D7">
      <w:pPr>
        <w:pStyle w:val="Default"/>
        <w:spacing w:line="300" w:lineRule="atLeast"/>
        <w:ind w:left="720"/>
        <w:rPr>
          <w:rFonts w:ascii="Arial Narrow" w:hAnsi="Arial Narrow" w:cs="Arial"/>
          <w:i/>
          <w:sz w:val="20"/>
          <w:szCs w:val="22"/>
        </w:rPr>
      </w:pPr>
      <w:r>
        <w:rPr>
          <w:rFonts w:ascii="Arial Narrow" w:hAnsi="Arial Narrow" w:cs="Arial"/>
          <w:i/>
          <w:sz w:val="20"/>
          <w:szCs w:val="22"/>
        </w:rPr>
        <w:t>'Overcrowding has reached intolerable limits in S11 – 2 children have died as a direct result of this infection and many others suffer unreported injustices. … This is surely enough to convince management that too many patients, too few staff, not enough space is a time bomb that has already gone off.'</w:t>
      </w:r>
    </w:p>
    <w:p w:rsidR="000A66D7" w:rsidRDefault="000A66D7">
      <w:pPr>
        <w:pStyle w:val="Default"/>
        <w:rPr>
          <w:rFonts w:ascii="Arial Narrow" w:hAnsi="Arial Narrow" w:cs="Arial"/>
          <w:sz w:val="20"/>
          <w:szCs w:val="22"/>
        </w:rPr>
      </w:pPr>
    </w:p>
    <w:p w:rsidR="000A66D7" w:rsidRDefault="000A66D7">
      <w:pPr>
        <w:pStyle w:val="bulletpoint"/>
        <w:numPr>
          <w:ilvl w:val="0"/>
          <w:numId w:val="0"/>
        </w:numPr>
        <w:spacing w:before="120" w:after="120" w:line="300" w:lineRule="atLeast"/>
        <w:rPr>
          <w:rFonts w:ascii="Arial Narrow" w:hAnsi="Arial Narrow" w:cs="Arial"/>
          <w:b/>
          <w:bCs/>
          <w:sz w:val="20"/>
          <w:lang w:val="en-US"/>
        </w:rPr>
      </w:pPr>
      <w:r>
        <w:rPr>
          <w:rFonts w:ascii="Arial Narrow" w:hAnsi="Arial Narrow" w:cs="Arial"/>
          <w:b/>
          <w:bCs/>
          <w:sz w:val="20"/>
          <w:szCs w:val="22"/>
          <w:lang w:val="en-US"/>
        </w:rPr>
        <w:t>Conclusions</w:t>
      </w:r>
      <w:r>
        <w:rPr>
          <w:rStyle w:val="FootnoteReference"/>
          <w:rFonts w:ascii="Arial Narrow" w:hAnsi="Arial Narrow" w:cs="Arial"/>
          <w:b/>
          <w:bCs/>
          <w:sz w:val="20"/>
          <w:szCs w:val="22"/>
          <w:lang w:val="en-US"/>
        </w:rPr>
        <w:footnoteReference w:id="8"/>
      </w:r>
    </w:p>
    <w:p w:rsidR="000A66D7" w:rsidRDefault="000A66D7">
      <w:pPr>
        <w:spacing w:before="120" w:after="120" w:line="300" w:lineRule="atLeast"/>
        <w:rPr>
          <w:rFonts w:ascii="Arial Narrow" w:hAnsi="Arial Narrow" w:cs="Arial"/>
          <w:sz w:val="20"/>
        </w:rPr>
      </w:pPr>
      <w:r>
        <w:rPr>
          <w:rFonts w:ascii="Arial Narrow" w:hAnsi="Arial Narrow" w:cs="Arial"/>
          <w:sz w:val="20"/>
        </w:rPr>
        <w:t>Progress in implementing the social and economic rights in the Bill of Rights is disappointing. In the South African constitution the rights of children to basic nutrition, shelter, basic health care services and social services are not conditional on the availability of resources [in my understanding as a non-lawyer at least] and there should be no delay in implementing them.</w:t>
      </w:r>
    </w:p>
    <w:p w:rsidR="000A66D7" w:rsidRDefault="000A66D7">
      <w:pPr>
        <w:spacing w:before="120" w:after="120" w:line="300" w:lineRule="atLeast"/>
        <w:rPr>
          <w:rFonts w:ascii="Arial Narrow" w:hAnsi="Arial Narrow" w:cs="Arial"/>
          <w:sz w:val="20"/>
        </w:rPr>
      </w:pPr>
      <w:r>
        <w:rPr>
          <w:rFonts w:ascii="Arial Narrow" w:hAnsi="Arial Narrow" w:cs="Arial"/>
          <w:sz w:val="20"/>
        </w:rPr>
        <w:t xml:space="preserve">Children's socio-economic rights should at least never be retrogressive. The failure to respond adequately to the challenges posed by demographic trends means that some children will experience retrogression of their rights. This applies to the right to social services (where social worker posts are frozen or moved), and to basic health care (when the need for care outstrips availability and access, and where safety standards cannot be maintained). </w:t>
      </w:r>
    </w:p>
    <w:p w:rsidR="000A66D7" w:rsidRDefault="000A66D7">
      <w:pPr>
        <w:spacing w:before="120" w:after="120" w:line="300" w:lineRule="atLeast"/>
        <w:rPr>
          <w:rFonts w:ascii="Arial Narrow" w:hAnsi="Arial Narrow" w:cs="Arial"/>
          <w:sz w:val="20"/>
        </w:rPr>
      </w:pPr>
      <w:r>
        <w:rPr>
          <w:rFonts w:ascii="Arial Narrow" w:hAnsi="Arial Narrow" w:cs="Arial"/>
          <w:sz w:val="20"/>
        </w:rPr>
        <w:t xml:space="preserve">It is clear that very little cognisance is given to the principle of 'the best interests of the child' in the way that safety standards and quality of care have become compromised as a result of declining staff numbers having to deal with growing numbers of very ill children in inadequate facilities. </w:t>
      </w:r>
    </w:p>
    <w:p w:rsidR="000A66D7" w:rsidRDefault="000A66D7">
      <w:pPr>
        <w:spacing w:before="120" w:after="120" w:line="300" w:lineRule="atLeast"/>
        <w:rPr>
          <w:rFonts w:ascii="Arial Narrow" w:hAnsi="Arial Narrow" w:cs="Arial"/>
          <w:sz w:val="20"/>
        </w:rPr>
      </w:pPr>
      <w:r>
        <w:rPr>
          <w:rFonts w:ascii="Arial Narrow" w:hAnsi="Arial Narrow" w:cs="Arial"/>
          <w:sz w:val="20"/>
        </w:rPr>
        <w:t xml:space="preserve">It is likely that inward migration to the Western Cape indicates that there is an even greater lack of implementation in other provinces, particularly the Eastern Cape. </w:t>
      </w:r>
    </w:p>
    <w:p w:rsidR="000A66D7" w:rsidRDefault="000A66D7">
      <w:pPr>
        <w:spacing w:before="120" w:after="120" w:line="300" w:lineRule="atLeast"/>
        <w:rPr>
          <w:rFonts w:ascii="Arial Narrow" w:hAnsi="Arial Narrow" w:cs="Arial"/>
          <w:sz w:val="20"/>
        </w:rPr>
      </w:pPr>
      <w:r>
        <w:rPr>
          <w:rFonts w:ascii="Arial Narrow" w:hAnsi="Arial Narrow" w:cs="Arial"/>
          <w:sz w:val="20"/>
        </w:rPr>
        <w:t>The global economic crisis with its trail of rising unemployment and increasing poverty will exacerbate the difficulties in meeting socio-economic rights by both increasing the material needs and decreasing the availability of resources to state and non-state actors.</w:t>
      </w:r>
    </w:p>
    <w:p w:rsidR="000A66D7" w:rsidRDefault="000A66D7">
      <w:pPr>
        <w:spacing w:before="120" w:after="120" w:line="300" w:lineRule="atLeast"/>
        <w:rPr>
          <w:rFonts w:ascii="Arial Narrow" w:hAnsi="Arial Narrow" w:cs="Arial"/>
          <w:b/>
          <w:sz w:val="20"/>
        </w:rPr>
      </w:pPr>
    </w:p>
    <w:p w:rsidR="000A66D7" w:rsidRDefault="000A66D7">
      <w:pPr>
        <w:spacing w:before="120" w:after="120" w:line="300" w:lineRule="atLeast"/>
        <w:rPr>
          <w:rFonts w:ascii="Arial Narrow" w:hAnsi="Arial Narrow" w:cs="Arial"/>
          <w:b/>
          <w:sz w:val="20"/>
        </w:rPr>
      </w:pPr>
    </w:p>
    <w:p w:rsidR="000A66D7" w:rsidRDefault="000A66D7">
      <w:pPr>
        <w:spacing w:before="120" w:after="120" w:line="300" w:lineRule="atLeast"/>
        <w:rPr>
          <w:rFonts w:ascii="Arial Narrow" w:hAnsi="Arial Narrow" w:cs="Arial"/>
          <w:b/>
          <w:sz w:val="20"/>
        </w:rPr>
      </w:pPr>
      <w:r>
        <w:rPr>
          <w:rFonts w:ascii="Arial Narrow" w:hAnsi="Arial Narrow" w:cs="Arial"/>
          <w:b/>
          <w:sz w:val="20"/>
        </w:rPr>
        <w:t>Acknowledgements</w:t>
      </w:r>
    </w:p>
    <w:p w:rsidR="000A66D7" w:rsidRDefault="000A66D7">
      <w:pPr>
        <w:spacing w:before="120" w:after="120" w:line="300" w:lineRule="atLeast"/>
        <w:rPr>
          <w:rFonts w:ascii="Arial Narrow" w:hAnsi="Arial Narrow"/>
        </w:rPr>
      </w:pPr>
      <w:r>
        <w:rPr>
          <w:rFonts w:ascii="Arial Narrow" w:hAnsi="Arial Narrow"/>
        </w:rPr>
        <w:t xml:space="preserve">We thank Karen Small and Janet </w:t>
      </w:r>
      <w:proofErr w:type="spellStart"/>
      <w:r>
        <w:rPr>
          <w:rFonts w:ascii="Arial Narrow" w:hAnsi="Arial Narrow"/>
        </w:rPr>
        <w:t>Gie</w:t>
      </w:r>
      <w:proofErr w:type="spellEnd"/>
      <w:r>
        <w:rPr>
          <w:rFonts w:ascii="Arial Narrow" w:hAnsi="Arial Narrow"/>
        </w:rPr>
        <w:t xml:space="preserve"> of the City of Cape Town for making information available to us, and Professor Tony Westwood for his input and for the statistics relating to Ward S11. We are also indebted to other colleagues for speaking openly to us about their experiences in caring for children with hospital acquired infections. However, we take full responsibility for the contents of this document. We write on behalf of the People's Health Movement, South Africa.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08"/>
      </w:tblGrid>
      <w:tr w:rsidR="000A66D7">
        <w:tc>
          <w:tcPr>
            <w:tcW w:w="4608" w:type="dxa"/>
          </w:tcPr>
          <w:p w:rsidR="000A66D7" w:rsidRDefault="000A66D7">
            <w:pPr>
              <w:spacing w:after="120" w:line="300" w:lineRule="atLeast"/>
              <w:rPr>
                <w:rFonts w:ascii="Arial Narrow" w:hAnsi="Arial Narrow" w:cs="Arial"/>
                <w:sz w:val="20"/>
              </w:rPr>
            </w:pPr>
            <w:r>
              <w:rPr>
                <w:rFonts w:ascii="Arial Narrow" w:hAnsi="Arial Narrow" w:cs="Arial"/>
                <w:sz w:val="20"/>
              </w:rPr>
              <w:t>Associate Professor Louis Reynolds</w:t>
            </w:r>
            <w:r>
              <w:rPr>
                <w:rFonts w:ascii="Arial Narrow" w:hAnsi="Arial Narrow" w:cs="Arial"/>
                <w:sz w:val="20"/>
              </w:rPr>
              <w:br/>
              <w:t>Department of Paediatrics &amp; Child Health</w:t>
            </w:r>
            <w:r>
              <w:rPr>
                <w:rFonts w:ascii="Arial Narrow" w:hAnsi="Arial Narrow" w:cs="Arial"/>
                <w:sz w:val="20"/>
              </w:rPr>
              <w:br/>
              <w:t>University of Cape Town</w:t>
            </w:r>
            <w:r>
              <w:rPr>
                <w:rFonts w:ascii="Arial Narrow" w:hAnsi="Arial Narrow" w:cs="Arial"/>
                <w:sz w:val="20"/>
              </w:rPr>
              <w:br/>
              <w:t>People's Health Movement, South Africa</w:t>
            </w:r>
          </w:p>
        </w:tc>
        <w:tc>
          <w:tcPr>
            <w:tcW w:w="4608" w:type="dxa"/>
          </w:tcPr>
          <w:p w:rsidR="000A66D7" w:rsidRDefault="000A66D7">
            <w:pPr>
              <w:spacing w:after="120" w:line="300" w:lineRule="atLeast"/>
              <w:rPr>
                <w:rFonts w:ascii="Arial Narrow" w:hAnsi="Arial Narrow" w:cs="Arial"/>
                <w:sz w:val="20"/>
              </w:rPr>
            </w:pPr>
            <w:r>
              <w:rPr>
                <w:rFonts w:ascii="Arial Narrow" w:hAnsi="Arial Narrow" w:cs="Arial"/>
                <w:sz w:val="20"/>
              </w:rPr>
              <w:t>Professor David Sanders</w:t>
            </w:r>
            <w:r>
              <w:rPr>
                <w:rFonts w:ascii="Arial Narrow" w:hAnsi="Arial Narrow" w:cs="Arial"/>
                <w:sz w:val="20"/>
              </w:rPr>
              <w:br/>
              <w:t>School of Public Health</w:t>
            </w:r>
            <w:r>
              <w:rPr>
                <w:rFonts w:ascii="Arial Narrow" w:hAnsi="Arial Narrow" w:cs="Arial"/>
                <w:sz w:val="20"/>
              </w:rPr>
              <w:br/>
              <w:t>University of the Western Cape</w:t>
            </w:r>
            <w:r>
              <w:rPr>
                <w:rFonts w:ascii="Arial Narrow" w:hAnsi="Arial Narrow" w:cs="Arial"/>
                <w:sz w:val="20"/>
              </w:rPr>
              <w:br/>
              <w:t>People's Health Movement, South Africa</w:t>
            </w:r>
          </w:p>
        </w:tc>
      </w:tr>
    </w:tbl>
    <w:p w:rsidR="004C5EE6" w:rsidRDefault="004C5EE6">
      <w:pPr>
        <w:spacing w:before="120" w:after="120" w:line="300" w:lineRule="atLeast"/>
      </w:pPr>
    </w:p>
    <w:p w:rsidR="000A66D7" w:rsidRDefault="004C5EE6">
      <w:pPr>
        <w:spacing w:before="120" w:after="120" w:line="300" w:lineRule="atLeast"/>
        <w:sectPr w:rsidR="000A66D7">
          <w:headerReference w:type="default" r:id="rId58"/>
          <w:footerReference w:type="default" r:id="rId59"/>
          <w:pgSz w:w="11906" w:h="16838"/>
          <w:pgMar w:top="22" w:right="1106" w:bottom="0" w:left="1320" w:header="708" w:footer="708" w:gutter="0"/>
          <w:pgBorders w:offsetFrom="page">
            <w:top w:val="inset" w:sz="6" w:space="24" w:color="DDDDDD"/>
            <w:left w:val="inset" w:sz="6" w:space="24" w:color="DDDDDD"/>
            <w:bottom w:val="outset" w:sz="6" w:space="24" w:color="DDDDDD"/>
            <w:right w:val="outset" w:sz="6" w:space="24" w:color="DDDDDD"/>
          </w:pgBorders>
          <w:cols w:space="708"/>
          <w:titlePg/>
          <w:docGrid w:linePitch="360"/>
        </w:sectPr>
      </w:pPr>
      <w:r>
        <w:br w:type="page"/>
      </w:r>
    </w:p>
    <w:p w:rsidR="000A66D7" w:rsidRDefault="002F7B5D">
      <w:pPr>
        <w:spacing w:before="120" w:after="120" w:line="300" w:lineRule="atLeast"/>
        <w:ind w:left="-1296"/>
      </w:pPr>
      <w:r>
        <w:rPr>
          <w:rFonts w:ascii="Trebuchet MS" w:hAnsi="Trebuchet MS"/>
          <w:b/>
          <w:noProof/>
          <w:lang w:val="en-ZA" w:eastAsia="en-ZA"/>
        </w:rPr>
        <w:lastRenderedPageBreak/>
        <w:drawing>
          <wp:inline distT="0" distB="0" distL="0" distR="0">
            <wp:extent cx="7842885" cy="10749915"/>
            <wp:effectExtent l="19050" t="0" r="5715" b="0"/>
            <wp:docPr id="11" name="Picture 11" descr="UWC SOPH Malnutrition_LB_B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WC SOPH Malnutrition_LB_Bcover"/>
                    <pic:cNvPicPr>
                      <a:picLocks noChangeAspect="1" noChangeArrowheads="1"/>
                    </pic:cNvPicPr>
                  </pic:nvPicPr>
                  <pic:blipFill>
                    <a:blip r:embed="rId60" cstate="print"/>
                    <a:srcRect/>
                    <a:stretch>
                      <a:fillRect/>
                    </a:stretch>
                  </pic:blipFill>
                  <pic:spPr bwMode="auto">
                    <a:xfrm>
                      <a:off x="0" y="0"/>
                      <a:ext cx="7842885" cy="10749915"/>
                    </a:xfrm>
                    <a:prstGeom prst="rect">
                      <a:avLst/>
                    </a:prstGeom>
                    <a:noFill/>
                    <a:ln w="9525">
                      <a:noFill/>
                      <a:miter lim="800000"/>
                      <a:headEnd/>
                      <a:tailEnd/>
                    </a:ln>
                  </pic:spPr>
                </pic:pic>
              </a:graphicData>
            </a:graphic>
          </wp:inline>
        </w:drawing>
      </w:r>
    </w:p>
    <w:sectPr w:rsidR="000A66D7">
      <w:pgSz w:w="11906" w:h="16838"/>
      <w:pgMar w:top="22" w:right="1106" w:bottom="0" w:left="1170" w:header="708" w:footer="708" w:gutter="0"/>
      <w:pgBorders w:offsetFrom="page">
        <w:top w:val="inset" w:sz="6" w:space="24" w:color="DDDDDD"/>
        <w:left w:val="inset" w:sz="6" w:space="24" w:color="DDDDDD"/>
        <w:bottom w:val="outset" w:sz="6" w:space="24" w:color="DDDDDD"/>
        <w:right w:val="outset" w:sz="6" w:space="24" w:color="DDDDDD"/>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E92" w:rsidRDefault="007A2E92">
      <w:r>
        <w:separator/>
      </w:r>
    </w:p>
  </w:endnote>
  <w:endnote w:type="continuationSeparator" w:id="0">
    <w:p w:rsidR="007A2E92" w:rsidRDefault="007A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gothic">
    <w:panose1 w:val="00000000000000000000"/>
    <w:charset w:val="00"/>
    <w:family w:val="roman"/>
    <w:notTrueType/>
    <w:pitch w:val="default"/>
  </w:font>
  <w:font w:name="Stone Sans ITC Std Medium">
    <w:altName w:val="Stone Sans ITC Std Medium"/>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AGaramondPro-Regular">
    <w:altName w:val="Arial Unicode MS"/>
    <w:panose1 w:val="00000000000000000000"/>
    <w:charset w:val="80"/>
    <w:family w:val="roman"/>
    <w:notTrueType/>
    <w:pitch w:val="default"/>
    <w:sig w:usb0="00000003" w:usb1="08070000" w:usb2="00000010" w:usb3="00000000" w:csb0="00020001" w:csb1="00000000"/>
  </w:font>
  <w:font w:name="Arial Narrow Italic">
    <w:panose1 w:val="020B06060202020A0204"/>
    <w:charset w:val="00"/>
    <w:family w:val="auto"/>
    <w:pitch w:val="variable"/>
    <w:sig w:usb0="03000000" w:usb1="00000000" w:usb2="00000000" w:usb3="00000000" w:csb0="00000001" w:csb1="00000000"/>
  </w:font>
  <w:font w:name="Myriad Pro Bold">
    <w:altName w:val="Courier New"/>
    <w:charset w:val="00"/>
    <w:family w:val="auto"/>
    <w:pitch w:val="variable"/>
    <w:sig w:usb0="00000000" w:usb1="00000000" w:usb2="00000000" w:usb3="00000000" w:csb0="00000001" w:csb1="00000000"/>
  </w:font>
  <w:font w:name="Arial Bold">
    <w:panose1 w:val="020B0704020202020204"/>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D7" w:rsidRDefault="007A2E92">
    <w:pPr>
      <w:pStyle w:val="Footer"/>
      <w:jc w:val="right"/>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6.35pt;margin-top:-4.25pt;width:252.35pt;height:4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Text Box 2">
            <w:txbxContent>
              <w:p w:rsidR="000A66D7" w:rsidRDefault="002F7B5D">
                <w:r>
                  <w:rPr>
                    <w:noProof/>
                    <w:lang w:val="en-ZA" w:eastAsia="en-ZA"/>
                  </w:rPr>
                  <w:drawing>
                    <wp:inline distT="0" distB="0" distL="0" distR="0">
                      <wp:extent cx="2180590" cy="43370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80590" cy="433705"/>
                              </a:xfrm>
                              <a:prstGeom prst="rect">
                                <a:avLst/>
                              </a:prstGeom>
                              <a:noFill/>
                              <a:ln w="9525">
                                <a:noFill/>
                                <a:miter lim="800000"/>
                                <a:headEnd/>
                                <a:tailEnd/>
                              </a:ln>
                            </pic:spPr>
                          </pic:pic>
                        </a:graphicData>
                      </a:graphic>
                    </wp:inline>
                  </w:drawing>
                </w:r>
              </w:p>
            </w:txbxContent>
          </v:textbox>
        </v:shape>
      </w:pict>
    </w:r>
    <w:r>
      <w:fldChar w:fldCharType="begin"/>
    </w:r>
    <w:r>
      <w:instrText xml:space="preserve"> PAGE   \* MERGEFORMAT </w:instrText>
    </w:r>
    <w:r>
      <w:fldChar w:fldCharType="separate"/>
    </w:r>
    <w:r w:rsidR="000A66D7">
      <w:rPr>
        <w:noProof/>
      </w:rPr>
      <w:t>16</w:t>
    </w:r>
    <w:r>
      <w:rPr>
        <w:noProof/>
      </w:rPr>
      <w:fldChar w:fldCharType="end"/>
    </w:r>
  </w:p>
  <w:p w:rsidR="000A66D7" w:rsidRDefault="000A6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D7" w:rsidRDefault="000A66D7">
    <w:pPr>
      <w:pStyle w:val="Footer"/>
      <w:tabs>
        <w:tab w:val="left" w:pos="1590"/>
        <w:tab w:val="right" w:pos="9026"/>
      </w:tabs>
    </w:pPr>
    <w:r>
      <w:tab/>
    </w:r>
    <w:r>
      <w:tab/>
    </w:r>
    <w:r w:rsidR="007A2E92">
      <w:fldChar w:fldCharType="begin"/>
    </w:r>
    <w:r w:rsidR="007A2E92">
      <w:instrText xml:space="preserve"> PAGE   \* MERGEFORMAT </w:instrText>
    </w:r>
    <w:r w:rsidR="007A2E92">
      <w:fldChar w:fldCharType="separate"/>
    </w:r>
    <w:r w:rsidR="00E152B5">
      <w:rPr>
        <w:noProof/>
      </w:rPr>
      <w:t>3</w:t>
    </w:r>
    <w:r w:rsidR="007A2E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E92" w:rsidRDefault="007A2E92">
      <w:r>
        <w:separator/>
      </w:r>
    </w:p>
  </w:footnote>
  <w:footnote w:type="continuationSeparator" w:id="0">
    <w:p w:rsidR="007A2E92" w:rsidRDefault="007A2E92">
      <w:r>
        <w:continuationSeparator/>
      </w:r>
    </w:p>
  </w:footnote>
  <w:footnote w:id="1">
    <w:p w:rsidR="000A66D7" w:rsidRDefault="000A66D7">
      <w:pPr>
        <w:pStyle w:val="FootnoteText"/>
      </w:pPr>
      <w:r>
        <w:rPr>
          <w:rStyle w:val="FootnoteReference"/>
        </w:rPr>
        <w:footnoteRef/>
      </w:r>
      <w:r>
        <w:t xml:space="preserve"> Under-5 mortality refers to the probability that a child will die before her or his 5</w:t>
      </w:r>
      <w:r>
        <w:rPr>
          <w:vertAlign w:val="superscript"/>
        </w:rPr>
        <w:t>th</w:t>
      </w:r>
      <w:r>
        <w:t xml:space="preserve"> birthday, expressed per 1000 live births. The U-5MR is an important indicator of a country's state of development.</w:t>
      </w:r>
    </w:p>
    <w:p w:rsidR="000A66D7" w:rsidRDefault="000A66D7">
      <w:pPr>
        <w:pStyle w:val="FootnoteText"/>
      </w:pPr>
    </w:p>
  </w:footnote>
  <w:footnote w:id="2">
    <w:p w:rsidR="000A66D7" w:rsidRDefault="000A66D7">
      <w:pPr>
        <w:pStyle w:val="FootnoteText"/>
      </w:pPr>
      <w:r>
        <w:rPr>
          <w:rStyle w:val="FootnoteReference"/>
        </w:rPr>
        <w:footnoteRef/>
      </w:r>
      <w:r>
        <w:t xml:space="preserve"> Diarrhoea due to gastroenteritis is a major cause of death in children under 5 years old globally. It kills when the child becomes severely dehydrated due to the loss of water and salts from the body. Children with gastroenteritis are admitted to A9 only if they are dehydrated or at risk of dehydration. </w:t>
      </w:r>
    </w:p>
  </w:footnote>
  <w:footnote w:id="3">
    <w:p w:rsidR="000A66D7" w:rsidRDefault="000A66D7">
      <w:pPr>
        <w:pStyle w:val="FootnoteText"/>
        <w:rPr>
          <w:rFonts w:ascii="Arial Narrow" w:hAnsi="Arial Narrow"/>
          <w:sz w:val="20"/>
        </w:rPr>
      </w:pPr>
      <w:r>
        <w:rPr>
          <w:rStyle w:val="FootnoteReference"/>
          <w:rFonts w:ascii="Arial Narrow" w:hAnsi="Arial Narrow"/>
          <w:sz w:val="20"/>
        </w:rPr>
        <w:footnoteRef/>
      </w:r>
      <w:r>
        <w:rPr>
          <w:rFonts w:ascii="Arial Narrow" w:hAnsi="Arial Narrow"/>
          <w:sz w:val="20"/>
        </w:rPr>
        <w:t xml:space="preserve"> Karen Small. </w:t>
      </w:r>
      <w:proofErr w:type="gramStart"/>
      <w:r>
        <w:rPr>
          <w:rFonts w:ascii="Arial Narrow" w:hAnsi="Arial Narrow"/>
          <w:i/>
          <w:iCs/>
          <w:sz w:val="20"/>
        </w:rPr>
        <w:t>2007 Community Survey Analysis.</w:t>
      </w:r>
      <w:proofErr w:type="gramEnd"/>
      <w:r>
        <w:rPr>
          <w:rFonts w:ascii="Arial Narrow" w:hAnsi="Arial Narrow"/>
          <w:sz w:val="20"/>
        </w:rPr>
        <w:t xml:space="preserve"> </w:t>
      </w:r>
      <w:proofErr w:type="gramStart"/>
      <w:r>
        <w:rPr>
          <w:rFonts w:ascii="Arial Narrow" w:hAnsi="Arial Narrow"/>
          <w:sz w:val="20"/>
        </w:rPr>
        <w:t>Strategic Development Information and GIS Department, Strategic Information Branch, Cape Town.</w:t>
      </w:r>
      <w:proofErr w:type="gramEnd"/>
      <w:r>
        <w:rPr>
          <w:rFonts w:ascii="Arial Narrow" w:hAnsi="Arial Narrow"/>
          <w:sz w:val="20"/>
        </w:rPr>
        <w:t xml:space="preserve"> October 2008</w:t>
      </w:r>
    </w:p>
  </w:footnote>
  <w:footnote w:id="4">
    <w:p w:rsidR="000A66D7" w:rsidRDefault="000A66D7">
      <w:pPr>
        <w:rPr>
          <w:rFonts w:ascii="Arial Narrow" w:hAnsi="Arial Narrow" w:cs="Arial"/>
          <w:sz w:val="20"/>
        </w:rPr>
      </w:pPr>
      <w:r>
        <w:rPr>
          <w:rStyle w:val="FootnoteReference"/>
          <w:rFonts w:ascii="Arial Narrow" w:hAnsi="Arial Narrow"/>
          <w:sz w:val="20"/>
        </w:rPr>
        <w:footnoteRef/>
      </w:r>
      <w:r>
        <w:rPr>
          <w:rFonts w:ascii="Arial Narrow" w:hAnsi="Arial Narrow"/>
          <w:sz w:val="20"/>
        </w:rPr>
        <w:t xml:space="preserve"> </w:t>
      </w:r>
      <w:proofErr w:type="spellStart"/>
      <w:r>
        <w:rPr>
          <w:rFonts w:ascii="Arial Narrow" w:hAnsi="Arial Narrow" w:cs="Arial"/>
          <w:sz w:val="20"/>
        </w:rPr>
        <w:t>Esrey</w:t>
      </w:r>
      <w:proofErr w:type="spellEnd"/>
      <w:r>
        <w:rPr>
          <w:rFonts w:ascii="Arial Narrow" w:hAnsi="Arial Narrow" w:cs="Arial"/>
          <w:sz w:val="20"/>
        </w:rPr>
        <w:t xml:space="preserve"> S., Potash J., Roberts L., Schiff C.  1991.  Effects of improved water supply and sanitation on </w:t>
      </w:r>
      <w:proofErr w:type="spellStart"/>
      <w:r>
        <w:rPr>
          <w:rFonts w:ascii="Arial Narrow" w:hAnsi="Arial Narrow" w:cs="Arial"/>
          <w:sz w:val="20"/>
        </w:rPr>
        <w:t>ascariasis</w:t>
      </w:r>
      <w:proofErr w:type="spellEnd"/>
      <w:r>
        <w:rPr>
          <w:rFonts w:ascii="Arial Narrow" w:hAnsi="Arial Narrow" w:cs="Arial"/>
          <w:sz w:val="20"/>
        </w:rPr>
        <w:t xml:space="preserve">, diarrhoea, </w:t>
      </w:r>
      <w:proofErr w:type="spellStart"/>
      <w:r>
        <w:rPr>
          <w:rFonts w:ascii="Arial Narrow" w:hAnsi="Arial Narrow" w:cs="Arial"/>
          <w:sz w:val="20"/>
        </w:rPr>
        <w:t>drancunculiasis</w:t>
      </w:r>
      <w:proofErr w:type="spellEnd"/>
      <w:r>
        <w:rPr>
          <w:rFonts w:ascii="Arial Narrow" w:hAnsi="Arial Narrow" w:cs="Arial"/>
          <w:sz w:val="20"/>
        </w:rPr>
        <w:t xml:space="preserve">, hookworm infection, </w:t>
      </w:r>
      <w:proofErr w:type="spellStart"/>
      <w:r>
        <w:rPr>
          <w:rFonts w:ascii="Arial Narrow" w:hAnsi="Arial Narrow" w:cs="Arial"/>
          <w:sz w:val="20"/>
        </w:rPr>
        <w:t>schistosomiasis</w:t>
      </w:r>
      <w:proofErr w:type="spellEnd"/>
      <w:r>
        <w:rPr>
          <w:rFonts w:ascii="Arial Narrow" w:hAnsi="Arial Narrow" w:cs="Arial"/>
          <w:sz w:val="20"/>
        </w:rPr>
        <w:t xml:space="preserve"> and trachoma.  </w:t>
      </w:r>
      <w:r>
        <w:rPr>
          <w:rFonts w:ascii="Arial Narrow" w:hAnsi="Arial Narrow" w:cs="Arial"/>
          <w:i/>
          <w:sz w:val="20"/>
        </w:rPr>
        <w:t xml:space="preserve">Bulletin of the World Health Organization </w:t>
      </w:r>
      <w:r>
        <w:rPr>
          <w:rFonts w:ascii="Arial Narrow" w:hAnsi="Arial Narrow" w:cs="Arial"/>
          <w:sz w:val="20"/>
        </w:rPr>
        <w:t>60:609-621.</w:t>
      </w:r>
    </w:p>
    <w:p w:rsidR="000A66D7" w:rsidRDefault="000A66D7">
      <w:pPr>
        <w:pStyle w:val="FootnoteText"/>
        <w:rPr>
          <w:rFonts w:ascii="Arial Narrow" w:hAnsi="Arial Narrow"/>
        </w:rPr>
      </w:pPr>
    </w:p>
  </w:footnote>
  <w:footnote w:id="5">
    <w:p w:rsidR="000A66D7" w:rsidRDefault="000A66D7">
      <w:pPr>
        <w:pStyle w:val="FootnoteText"/>
        <w:rPr>
          <w:rFonts w:ascii="Arial Narrow" w:hAnsi="Arial Narrow" w:cs="Arial"/>
        </w:rPr>
      </w:pPr>
      <w:r>
        <w:rPr>
          <w:rStyle w:val="FootnoteReference"/>
          <w:rFonts w:ascii="Arial Narrow" w:hAnsi="Arial Narrow"/>
        </w:rPr>
        <w:footnoteRef/>
      </w:r>
      <w:r>
        <w:rPr>
          <w:rFonts w:ascii="Arial Narrow" w:hAnsi="Arial Narrow"/>
        </w:rPr>
        <w:t xml:space="preserve"> </w:t>
      </w:r>
      <w:proofErr w:type="spellStart"/>
      <w:r>
        <w:rPr>
          <w:rFonts w:ascii="Arial Narrow" w:hAnsi="Arial Narrow" w:cs="Arial"/>
        </w:rPr>
        <w:t>Huttly</w:t>
      </w:r>
      <w:proofErr w:type="spellEnd"/>
      <w:r>
        <w:rPr>
          <w:rFonts w:ascii="Arial Narrow" w:hAnsi="Arial Narrow" w:cs="Arial"/>
        </w:rPr>
        <w:t xml:space="preserve"> S., Morris </w:t>
      </w:r>
      <w:proofErr w:type="spellStart"/>
      <w:r>
        <w:rPr>
          <w:rFonts w:ascii="Arial Narrow" w:hAnsi="Arial Narrow" w:cs="Arial"/>
        </w:rPr>
        <w:t>S.and</w:t>
      </w:r>
      <w:proofErr w:type="spellEnd"/>
      <w:r>
        <w:rPr>
          <w:rFonts w:ascii="Arial Narrow" w:hAnsi="Arial Narrow" w:cs="Arial"/>
        </w:rPr>
        <w:t xml:space="preserve"> </w:t>
      </w:r>
      <w:proofErr w:type="spellStart"/>
      <w:r>
        <w:rPr>
          <w:rFonts w:ascii="Arial Narrow" w:hAnsi="Arial Narrow" w:cs="Arial"/>
        </w:rPr>
        <w:t>Pisani</w:t>
      </w:r>
      <w:proofErr w:type="spellEnd"/>
      <w:r>
        <w:rPr>
          <w:rFonts w:ascii="Arial Narrow" w:hAnsi="Arial Narrow" w:cs="Arial"/>
        </w:rPr>
        <w:t xml:space="preserve"> V.  1997.  Prevention of diarrhoea in young children in developing countries.  </w:t>
      </w:r>
      <w:r>
        <w:rPr>
          <w:rFonts w:ascii="Arial Narrow" w:hAnsi="Arial Narrow" w:cs="Arial"/>
          <w:i/>
        </w:rPr>
        <w:t xml:space="preserve">Bulletin of the World health Organisation </w:t>
      </w:r>
      <w:r>
        <w:rPr>
          <w:rFonts w:ascii="Arial Narrow" w:hAnsi="Arial Narrow" w:cs="Arial"/>
        </w:rPr>
        <w:t>75(2): 163-174.</w:t>
      </w:r>
    </w:p>
    <w:p w:rsidR="000A66D7" w:rsidRDefault="000A66D7">
      <w:pPr>
        <w:pStyle w:val="FootnoteText"/>
        <w:rPr>
          <w:rFonts w:ascii="Arial Narrow" w:hAnsi="Arial Narrow"/>
        </w:rPr>
      </w:pPr>
    </w:p>
  </w:footnote>
  <w:footnote w:id="6">
    <w:p w:rsidR="000A66D7" w:rsidRDefault="000A66D7">
      <w:pPr>
        <w:pStyle w:val="FootnoteText"/>
        <w:rPr>
          <w:rFonts w:ascii="Arial Narrow" w:hAnsi="Arial Narrow" w:cs="Arial"/>
        </w:rPr>
      </w:pPr>
      <w:r>
        <w:rPr>
          <w:rStyle w:val="FootnoteReference"/>
          <w:rFonts w:ascii="Arial Narrow" w:hAnsi="Arial Narrow"/>
        </w:rPr>
        <w:footnoteRef/>
      </w:r>
      <w:r>
        <w:rPr>
          <w:rFonts w:ascii="Arial Narrow" w:hAnsi="Arial Narrow"/>
        </w:rPr>
        <w:t xml:space="preserve"> </w:t>
      </w:r>
      <w:r>
        <w:rPr>
          <w:rFonts w:ascii="Arial Narrow" w:hAnsi="Arial Narrow" w:cs="Arial"/>
          <w:lang w:val="nl-NL"/>
        </w:rPr>
        <w:t xml:space="preserve">Billig P., Bendahmane D., Swindale A.  </w:t>
      </w:r>
      <w:r>
        <w:rPr>
          <w:rFonts w:ascii="Arial Narrow" w:hAnsi="Arial Narrow" w:cs="Arial"/>
        </w:rPr>
        <w:t xml:space="preserve">1991.  Water and Sanitation Indicators Measurement Guide.  </w:t>
      </w:r>
      <w:proofErr w:type="gramStart"/>
      <w:r>
        <w:rPr>
          <w:rFonts w:ascii="Arial Narrow" w:hAnsi="Arial Narrow" w:cs="Arial"/>
          <w:i/>
        </w:rPr>
        <w:t xml:space="preserve">Food and Nutrition Technical Assistance Project, </w:t>
      </w:r>
      <w:r>
        <w:rPr>
          <w:rFonts w:ascii="Arial Narrow" w:hAnsi="Arial Narrow" w:cs="Arial"/>
        </w:rPr>
        <w:t>Washington D.C.</w:t>
      </w:r>
      <w:proofErr w:type="gramEnd"/>
    </w:p>
    <w:p w:rsidR="000A66D7" w:rsidRDefault="000A66D7">
      <w:pPr>
        <w:pStyle w:val="FootnoteText"/>
        <w:rPr>
          <w:rFonts w:ascii="Arial Narrow" w:hAnsi="Arial Narrow"/>
        </w:rPr>
      </w:pPr>
    </w:p>
  </w:footnote>
  <w:footnote w:id="7">
    <w:p w:rsidR="000A66D7" w:rsidRDefault="000A66D7">
      <w:pPr>
        <w:pStyle w:val="FootnoteText"/>
      </w:pPr>
      <w:r>
        <w:rPr>
          <w:rStyle w:val="FootnoteReference"/>
          <w:rFonts w:ascii="Arial Narrow" w:hAnsi="Arial Narrow"/>
        </w:rPr>
        <w:footnoteRef/>
      </w:r>
      <w:r>
        <w:rPr>
          <w:rFonts w:ascii="Arial Narrow" w:hAnsi="Arial Narrow"/>
        </w:rPr>
        <w:t xml:space="preserve"> </w:t>
      </w:r>
      <w:proofErr w:type="spellStart"/>
      <w:r>
        <w:rPr>
          <w:rFonts w:ascii="Arial Narrow" w:hAnsi="Arial Narrow" w:cs="Arial"/>
        </w:rPr>
        <w:t>Esrey</w:t>
      </w:r>
      <w:proofErr w:type="spellEnd"/>
      <w:r>
        <w:rPr>
          <w:rFonts w:ascii="Arial Narrow" w:hAnsi="Arial Narrow" w:cs="Arial"/>
        </w:rPr>
        <w:t xml:space="preserve"> S., Potash J., Roberts L., Schiff C.  1991.  Effects of improved water supply and sanitation on </w:t>
      </w:r>
      <w:proofErr w:type="spellStart"/>
      <w:r>
        <w:rPr>
          <w:rFonts w:ascii="Arial Narrow" w:hAnsi="Arial Narrow" w:cs="Arial"/>
        </w:rPr>
        <w:t>ascariasis</w:t>
      </w:r>
      <w:proofErr w:type="spellEnd"/>
      <w:r>
        <w:rPr>
          <w:rFonts w:ascii="Arial Narrow" w:hAnsi="Arial Narrow" w:cs="Arial"/>
        </w:rPr>
        <w:t xml:space="preserve">, diarrhoea, </w:t>
      </w:r>
      <w:proofErr w:type="spellStart"/>
      <w:r>
        <w:rPr>
          <w:rFonts w:ascii="Arial Narrow" w:hAnsi="Arial Narrow" w:cs="Arial"/>
        </w:rPr>
        <w:t>drancunculiasis</w:t>
      </w:r>
      <w:proofErr w:type="spellEnd"/>
      <w:r>
        <w:rPr>
          <w:rFonts w:ascii="Arial Narrow" w:hAnsi="Arial Narrow" w:cs="Arial"/>
        </w:rPr>
        <w:t xml:space="preserve">, hookworm infection, </w:t>
      </w:r>
      <w:proofErr w:type="spellStart"/>
      <w:r>
        <w:rPr>
          <w:rFonts w:ascii="Arial Narrow" w:hAnsi="Arial Narrow" w:cs="Arial"/>
        </w:rPr>
        <w:t>schistosomiasis</w:t>
      </w:r>
      <w:proofErr w:type="spellEnd"/>
      <w:r>
        <w:rPr>
          <w:rFonts w:ascii="Arial Narrow" w:hAnsi="Arial Narrow" w:cs="Arial"/>
        </w:rPr>
        <w:t xml:space="preserve"> and trachoma.  </w:t>
      </w:r>
      <w:r>
        <w:rPr>
          <w:rFonts w:ascii="Arial Narrow" w:hAnsi="Arial Narrow" w:cs="Arial"/>
          <w:i/>
        </w:rPr>
        <w:t xml:space="preserve">Bulletin of the World Health Organization </w:t>
      </w:r>
      <w:r>
        <w:rPr>
          <w:rFonts w:ascii="Arial Narrow" w:hAnsi="Arial Narrow" w:cs="Arial"/>
        </w:rPr>
        <w:t>60:609-621.</w:t>
      </w:r>
    </w:p>
  </w:footnote>
  <w:footnote w:id="8">
    <w:p w:rsidR="000A66D7" w:rsidRDefault="000A66D7">
      <w:pPr>
        <w:pStyle w:val="FootnoteText"/>
      </w:pPr>
      <w:r>
        <w:rPr>
          <w:rStyle w:val="FootnoteReference"/>
        </w:rPr>
        <w:footnoteRef/>
      </w:r>
      <w:r>
        <w:t xml:space="preserve"> I, LR, write this as a non lawyer; it is based on my somewhat limited understanding of these matters.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D7" w:rsidRDefault="000A66D7">
    <w:pPr>
      <w:jc w:val="right"/>
      <w:rPr>
        <w:rFonts w:ascii="Trebuchet MS" w:hAnsi="Trebuchet MS"/>
        <w:bCs/>
        <w:noProof/>
        <w:sz w:val="16"/>
      </w:rPr>
    </w:pPr>
    <w:r>
      <w:rPr>
        <w:rFonts w:ascii="Trebuchet MS" w:hAnsi="Trebuchet MS"/>
        <w:color w:val="002060"/>
        <w:sz w:val="18"/>
        <w:szCs w:val="18"/>
      </w:rPr>
      <w:t>CASE STUDY:</w:t>
    </w:r>
    <w:r>
      <w:rPr>
        <w:rFonts w:ascii="Trebuchet MS" w:hAnsi="Trebuchet MS"/>
        <w:b/>
        <w:color w:val="002060"/>
        <w:sz w:val="18"/>
        <w:szCs w:val="18"/>
      </w:rPr>
      <w:t xml:space="preserve"> </w:t>
    </w:r>
    <w:r>
      <w:rPr>
        <w:rFonts w:ascii="Trebuchet MS" w:hAnsi="Trebuchet MS"/>
        <w:bCs/>
        <w:sz w:val="16"/>
      </w:rPr>
      <w:t xml:space="preserve">Addressing </w:t>
    </w:r>
    <w:proofErr w:type="spellStart"/>
    <w:r>
      <w:rPr>
        <w:rFonts w:ascii="Trebuchet MS" w:hAnsi="Trebuchet MS"/>
        <w:bCs/>
        <w:sz w:val="16"/>
      </w:rPr>
      <w:t>Diarrhea</w:t>
    </w:r>
    <w:proofErr w:type="spellEnd"/>
    <w:r>
      <w:rPr>
        <w:rFonts w:ascii="Trebuchet MS" w:hAnsi="Trebuchet MS"/>
        <w:bCs/>
        <w:sz w:val="16"/>
      </w:rPr>
      <w:t xml:space="preserve"> through Public Health Action</w:t>
    </w:r>
  </w:p>
  <w:p w:rsidR="000A66D7" w:rsidRDefault="000A66D7">
    <w:pPr>
      <w:pStyle w:val="Footer"/>
      <w:pBdr>
        <w:bottom w:val="single" w:sz="4" w:space="1" w:color="auto"/>
      </w:pBdr>
      <w:jc w:val="right"/>
      <w:rPr>
        <w:rFonts w:ascii="Trebuchet MS" w:hAnsi="Trebuchet MS"/>
        <w:sz w:val="18"/>
        <w:szCs w:val="18"/>
      </w:rPr>
    </w:pPr>
  </w:p>
  <w:p w:rsidR="000A66D7" w:rsidRDefault="000A66D7">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D7" w:rsidRDefault="000A66D7">
    <w:pPr>
      <w:pStyle w:val="Header"/>
    </w:pPr>
    <w:r>
      <w:t xml:space="preserve">                                                                               PUBLIC HEALTH CASE: Addressing </w:t>
    </w:r>
    <w:proofErr w:type="spellStart"/>
    <w:r>
      <w:t>Diarrhea</w:t>
    </w:r>
    <w:proofErr w:type="spellEnd"/>
    <w:r>
      <w:t xml:space="preserve"> through Public Health Action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4AB"/>
    <w:multiLevelType w:val="hybridMultilevel"/>
    <w:tmpl w:val="F35CD56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59B3BDC"/>
    <w:multiLevelType w:val="hybridMultilevel"/>
    <w:tmpl w:val="3B64F6C2"/>
    <w:lvl w:ilvl="0" w:tplc="C52222A2">
      <w:start w:val="1"/>
      <w:numFmt w:val="bullet"/>
      <w:lvlText w:val=""/>
      <w:lvlJc w:val="left"/>
      <w:pPr>
        <w:tabs>
          <w:tab w:val="num" w:pos="644"/>
        </w:tabs>
        <w:ind w:left="644" w:hanging="360"/>
      </w:pPr>
      <w:rPr>
        <w:rFonts w:ascii="Symbol" w:hAnsi="Symbol" w:hint="default"/>
        <w:sz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nsid w:val="06CF6DE6"/>
    <w:multiLevelType w:val="hybridMultilevel"/>
    <w:tmpl w:val="C1C664CC"/>
    <w:lvl w:ilvl="0" w:tplc="68C00338">
      <w:start w:val="1"/>
      <w:numFmt w:val="decimal"/>
      <w:lvlText w:val="%1."/>
      <w:lvlJc w:val="left"/>
      <w:pPr>
        <w:tabs>
          <w:tab w:val="num" w:pos="720"/>
        </w:tabs>
        <w:ind w:left="720" w:hanging="360"/>
      </w:pPr>
    </w:lvl>
    <w:lvl w:ilvl="1" w:tplc="FD1846BE" w:tentative="1">
      <w:start w:val="1"/>
      <w:numFmt w:val="decimal"/>
      <w:lvlText w:val="%2."/>
      <w:lvlJc w:val="left"/>
      <w:pPr>
        <w:tabs>
          <w:tab w:val="num" w:pos="1440"/>
        </w:tabs>
        <w:ind w:left="1440" w:hanging="360"/>
      </w:pPr>
    </w:lvl>
    <w:lvl w:ilvl="2" w:tplc="539889EE" w:tentative="1">
      <w:start w:val="1"/>
      <w:numFmt w:val="decimal"/>
      <w:lvlText w:val="%3."/>
      <w:lvlJc w:val="left"/>
      <w:pPr>
        <w:tabs>
          <w:tab w:val="num" w:pos="2160"/>
        </w:tabs>
        <w:ind w:left="2160" w:hanging="360"/>
      </w:pPr>
    </w:lvl>
    <w:lvl w:ilvl="3" w:tplc="00AE6776" w:tentative="1">
      <w:start w:val="1"/>
      <w:numFmt w:val="decimal"/>
      <w:lvlText w:val="%4."/>
      <w:lvlJc w:val="left"/>
      <w:pPr>
        <w:tabs>
          <w:tab w:val="num" w:pos="2880"/>
        </w:tabs>
        <w:ind w:left="2880" w:hanging="360"/>
      </w:pPr>
    </w:lvl>
    <w:lvl w:ilvl="4" w:tplc="951AA18E" w:tentative="1">
      <w:start w:val="1"/>
      <w:numFmt w:val="decimal"/>
      <w:lvlText w:val="%5."/>
      <w:lvlJc w:val="left"/>
      <w:pPr>
        <w:tabs>
          <w:tab w:val="num" w:pos="3600"/>
        </w:tabs>
        <w:ind w:left="3600" w:hanging="360"/>
      </w:pPr>
    </w:lvl>
    <w:lvl w:ilvl="5" w:tplc="4C54B5EE" w:tentative="1">
      <w:start w:val="1"/>
      <w:numFmt w:val="decimal"/>
      <w:lvlText w:val="%6."/>
      <w:lvlJc w:val="left"/>
      <w:pPr>
        <w:tabs>
          <w:tab w:val="num" w:pos="4320"/>
        </w:tabs>
        <w:ind w:left="4320" w:hanging="360"/>
      </w:pPr>
    </w:lvl>
    <w:lvl w:ilvl="6" w:tplc="EC2ACC0A" w:tentative="1">
      <w:start w:val="1"/>
      <w:numFmt w:val="decimal"/>
      <w:lvlText w:val="%7."/>
      <w:lvlJc w:val="left"/>
      <w:pPr>
        <w:tabs>
          <w:tab w:val="num" w:pos="5040"/>
        </w:tabs>
        <w:ind w:left="5040" w:hanging="360"/>
      </w:pPr>
    </w:lvl>
    <w:lvl w:ilvl="7" w:tplc="3B22E4F4" w:tentative="1">
      <w:start w:val="1"/>
      <w:numFmt w:val="decimal"/>
      <w:lvlText w:val="%8."/>
      <w:lvlJc w:val="left"/>
      <w:pPr>
        <w:tabs>
          <w:tab w:val="num" w:pos="5760"/>
        </w:tabs>
        <w:ind w:left="5760" w:hanging="360"/>
      </w:pPr>
    </w:lvl>
    <w:lvl w:ilvl="8" w:tplc="001ECDEE" w:tentative="1">
      <w:start w:val="1"/>
      <w:numFmt w:val="decimal"/>
      <w:lvlText w:val="%9."/>
      <w:lvlJc w:val="left"/>
      <w:pPr>
        <w:tabs>
          <w:tab w:val="num" w:pos="6480"/>
        </w:tabs>
        <w:ind w:left="6480" w:hanging="360"/>
      </w:pPr>
    </w:lvl>
  </w:abstractNum>
  <w:abstractNum w:abstractNumId="3">
    <w:nsid w:val="077A7490"/>
    <w:multiLevelType w:val="hybridMultilevel"/>
    <w:tmpl w:val="2522FE1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6C72F7"/>
    <w:multiLevelType w:val="multilevel"/>
    <w:tmpl w:val="851E307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14495DA4"/>
    <w:multiLevelType w:val="hybridMultilevel"/>
    <w:tmpl w:val="4328C096"/>
    <w:lvl w:ilvl="0" w:tplc="EA045E56">
      <w:start w:val="5"/>
      <w:numFmt w:val="decimal"/>
      <w:lvlText w:val="%1."/>
      <w:lvlJc w:val="left"/>
      <w:pPr>
        <w:tabs>
          <w:tab w:val="num" w:pos="720"/>
        </w:tabs>
        <w:ind w:left="720" w:hanging="360"/>
      </w:pPr>
    </w:lvl>
    <w:lvl w:ilvl="1" w:tplc="5E28A624" w:tentative="1">
      <w:start w:val="1"/>
      <w:numFmt w:val="decimal"/>
      <w:lvlText w:val="%2."/>
      <w:lvlJc w:val="left"/>
      <w:pPr>
        <w:tabs>
          <w:tab w:val="num" w:pos="1440"/>
        </w:tabs>
        <w:ind w:left="1440" w:hanging="360"/>
      </w:pPr>
    </w:lvl>
    <w:lvl w:ilvl="2" w:tplc="630E7FD6" w:tentative="1">
      <w:start w:val="1"/>
      <w:numFmt w:val="decimal"/>
      <w:lvlText w:val="%3."/>
      <w:lvlJc w:val="left"/>
      <w:pPr>
        <w:tabs>
          <w:tab w:val="num" w:pos="2160"/>
        </w:tabs>
        <w:ind w:left="2160" w:hanging="360"/>
      </w:pPr>
    </w:lvl>
    <w:lvl w:ilvl="3" w:tplc="9432C03C" w:tentative="1">
      <w:start w:val="1"/>
      <w:numFmt w:val="decimal"/>
      <w:lvlText w:val="%4."/>
      <w:lvlJc w:val="left"/>
      <w:pPr>
        <w:tabs>
          <w:tab w:val="num" w:pos="2880"/>
        </w:tabs>
        <w:ind w:left="2880" w:hanging="360"/>
      </w:pPr>
    </w:lvl>
    <w:lvl w:ilvl="4" w:tplc="31527244" w:tentative="1">
      <w:start w:val="1"/>
      <w:numFmt w:val="decimal"/>
      <w:lvlText w:val="%5."/>
      <w:lvlJc w:val="left"/>
      <w:pPr>
        <w:tabs>
          <w:tab w:val="num" w:pos="3600"/>
        </w:tabs>
        <w:ind w:left="3600" w:hanging="360"/>
      </w:pPr>
    </w:lvl>
    <w:lvl w:ilvl="5" w:tplc="30746258" w:tentative="1">
      <w:start w:val="1"/>
      <w:numFmt w:val="decimal"/>
      <w:lvlText w:val="%6."/>
      <w:lvlJc w:val="left"/>
      <w:pPr>
        <w:tabs>
          <w:tab w:val="num" w:pos="4320"/>
        </w:tabs>
        <w:ind w:left="4320" w:hanging="360"/>
      </w:pPr>
    </w:lvl>
    <w:lvl w:ilvl="6" w:tplc="5E101F76" w:tentative="1">
      <w:start w:val="1"/>
      <w:numFmt w:val="decimal"/>
      <w:lvlText w:val="%7."/>
      <w:lvlJc w:val="left"/>
      <w:pPr>
        <w:tabs>
          <w:tab w:val="num" w:pos="5040"/>
        </w:tabs>
        <w:ind w:left="5040" w:hanging="360"/>
      </w:pPr>
    </w:lvl>
    <w:lvl w:ilvl="7" w:tplc="660405C4" w:tentative="1">
      <w:start w:val="1"/>
      <w:numFmt w:val="decimal"/>
      <w:lvlText w:val="%8."/>
      <w:lvlJc w:val="left"/>
      <w:pPr>
        <w:tabs>
          <w:tab w:val="num" w:pos="5760"/>
        </w:tabs>
        <w:ind w:left="5760" w:hanging="360"/>
      </w:pPr>
    </w:lvl>
    <w:lvl w:ilvl="8" w:tplc="816A6350" w:tentative="1">
      <w:start w:val="1"/>
      <w:numFmt w:val="decimal"/>
      <w:lvlText w:val="%9."/>
      <w:lvlJc w:val="left"/>
      <w:pPr>
        <w:tabs>
          <w:tab w:val="num" w:pos="6480"/>
        </w:tabs>
        <w:ind w:left="6480" w:hanging="360"/>
      </w:pPr>
    </w:lvl>
  </w:abstractNum>
  <w:abstractNum w:abstractNumId="6">
    <w:nsid w:val="172632F7"/>
    <w:multiLevelType w:val="hybridMultilevel"/>
    <w:tmpl w:val="E9F6421C"/>
    <w:lvl w:ilvl="0" w:tplc="4C286662">
      <w:start w:val="1"/>
      <w:numFmt w:val="bullet"/>
      <w:pStyle w:val="bulletpoin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80C2FB1"/>
    <w:multiLevelType w:val="multilevel"/>
    <w:tmpl w:val="8EA27164"/>
    <w:lvl w:ilvl="0">
      <w:start w:val="2"/>
      <w:numFmt w:val="decimal"/>
      <w:lvlText w:val="%1"/>
      <w:lvlJc w:val="left"/>
      <w:pPr>
        <w:tabs>
          <w:tab w:val="num" w:pos="735"/>
        </w:tabs>
        <w:ind w:left="735" w:hanging="735"/>
      </w:pPr>
      <w:rPr>
        <w:rFonts w:hint="default"/>
        <w:b w:val="0"/>
        <w:color w:val="17365D"/>
        <w:sz w:val="32"/>
      </w:rPr>
    </w:lvl>
    <w:lvl w:ilvl="1">
      <w:start w:val="3"/>
      <w:numFmt w:val="decimal"/>
      <w:lvlText w:val="%1.%2"/>
      <w:lvlJc w:val="left"/>
      <w:pPr>
        <w:tabs>
          <w:tab w:val="num" w:pos="735"/>
        </w:tabs>
        <w:ind w:left="735" w:hanging="735"/>
      </w:pPr>
      <w:rPr>
        <w:rFonts w:hint="default"/>
        <w:b w:val="0"/>
        <w:color w:val="17365D"/>
        <w:sz w:val="32"/>
      </w:rPr>
    </w:lvl>
    <w:lvl w:ilvl="2">
      <w:start w:val="1"/>
      <w:numFmt w:val="decimal"/>
      <w:lvlText w:val="%1.%2.%3"/>
      <w:lvlJc w:val="left"/>
      <w:pPr>
        <w:tabs>
          <w:tab w:val="num" w:pos="735"/>
        </w:tabs>
        <w:ind w:left="735" w:hanging="735"/>
      </w:pPr>
      <w:rPr>
        <w:rFonts w:hint="default"/>
        <w:b w:val="0"/>
        <w:color w:val="17365D"/>
        <w:sz w:val="32"/>
      </w:rPr>
    </w:lvl>
    <w:lvl w:ilvl="3">
      <w:start w:val="1"/>
      <w:numFmt w:val="decimal"/>
      <w:lvlText w:val="%1.%2.%3.%4"/>
      <w:lvlJc w:val="left"/>
      <w:pPr>
        <w:tabs>
          <w:tab w:val="num" w:pos="1080"/>
        </w:tabs>
        <w:ind w:left="1080" w:hanging="1080"/>
      </w:pPr>
      <w:rPr>
        <w:rFonts w:hint="default"/>
        <w:b w:val="0"/>
        <w:color w:val="17365D"/>
        <w:sz w:val="32"/>
      </w:rPr>
    </w:lvl>
    <w:lvl w:ilvl="4">
      <w:start w:val="1"/>
      <w:numFmt w:val="decimal"/>
      <w:lvlText w:val="%1.%2.%3.%4.%5"/>
      <w:lvlJc w:val="left"/>
      <w:pPr>
        <w:tabs>
          <w:tab w:val="num" w:pos="1080"/>
        </w:tabs>
        <w:ind w:left="1080" w:hanging="1080"/>
      </w:pPr>
      <w:rPr>
        <w:rFonts w:hint="default"/>
        <w:b w:val="0"/>
        <w:color w:val="17365D"/>
        <w:sz w:val="32"/>
      </w:rPr>
    </w:lvl>
    <w:lvl w:ilvl="5">
      <w:start w:val="1"/>
      <w:numFmt w:val="decimal"/>
      <w:lvlText w:val="%1.%2.%3.%4.%5.%6"/>
      <w:lvlJc w:val="left"/>
      <w:pPr>
        <w:tabs>
          <w:tab w:val="num" w:pos="1440"/>
        </w:tabs>
        <w:ind w:left="1440" w:hanging="1440"/>
      </w:pPr>
      <w:rPr>
        <w:rFonts w:hint="default"/>
        <w:b w:val="0"/>
        <w:color w:val="17365D"/>
        <w:sz w:val="32"/>
      </w:rPr>
    </w:lvl>
    <w:lvl w:ilvl="6">
      <w:start w:val="1"/>
      <w:numFmt w:val="decimal"/>
      <w:lvlText w:val="%1.%2.%3.%4.%5.%6.%7"/>
      <w:lvlJc w:val="left"/>
      <w:pPr>
        <w:tabs>
          <w:tab w:val="num" w:pos="1440"/>
        </w:tabs>
        <w:ind w:left="1440" w:hanging="1440"/>
      </w:pPr>
      <w:rPr>
        <w:rFonts w:hint="default"/>
        <w:b w:val="0"/>
        <w:color w:val="17365D"/>
        <w:sz w:val="32"/>
      </w:rPr>
    </w:lvl>
    <w:lvl w:ilvl="7">
      <w:start w:val="1"/>
      <w:numFmt w:val="decimal"/>
      <w:lvlText w:val="%1.%2.%3.%4.%5.%6.%7.%8"/>
      <w:lvlJc w:val="left"/>
      <w:pPr>
        <w:tabs>
          <w:tab w:val="num" w:pos="1800"/>
        </w:tabs>
        <w:ind w:left="1800" w:hanging="1800"/>
      </w:pPr>
      <w:rPr>
        <w:rFonts w:hint="default"/>
        <w:b w:val="0"/>
        <w:color w:val="17365D"/>
        <w:sz w:val="32"/>
      </w:rPr>
    </w:lvl>
    <w:lvl w:ilvl="8">
      <w:start w:val="1"/>
      <w:numFmt w:val="decimal"/>
      <w:lvlText w:val="%1.%2.%3.%4.%5.%6.%7.%8.%9"/>
      <w:lvlJc w:val="left"/>
      <w:pPr>
        <w:tabs>
          <w:tab w:val="num" w:pos="1800"/>
        </w:tabs>
        <w:ind w:left="1800" w:hanging="1800"/>
      </w:pPr>
      <w:rPr>
        <w:rFonts w:hint="default"/>
        <w:b w:val="0"/>
        <w:color w:val="17365D"/>
        <w:sz w:val="32"/>
      </w:rPr>
    </w:lvl>
  </w:abstractNum>
  <w:abstractNum w:abstractNumId="8">
    <w:nsid w:val="1819391F"/>
    <w:multiLevelType w:val="hybridMultilevel"/>
    <w:tmpl w:val="7436B958"/>
    <w:lvl w:ilvl="0" w:tplc="FFFFFFFF">
      <w:start w:val="1"/>
      <w:numFmt w:val="bullet"/>
      <w:pStyle w:val="Bulletsnom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B3E57A8"/>
    <w:multiLevelType w:val="hybridMultilevel"/>
    <w:tmpl w:val="1F3453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F732F4D"/>
    <w:multiLevelType w:val="hybridMultilevel"/>
    <w:tmpl w:val="BB9A73D4"/>
    <w:lvl w:ilvl="0" w:tplc="0A3C173E">
      <w:start w:val="1"/>
      <w:numFmt w:val="bullet"/>
      <w:pStyle w:val="Quote1"/>
      <w:lvlText w:val=""/>
      <w:lvlJc w:val="left"/>
      <w:pPr>
        <w:ind w:left="720" w:hanging="360"/>
      </w:pPr>
      <w:rPr>
        <w:rFonts w:ascii="Symbol" w:hAnsi="Symbol" w:hint="default"/>
        <w:sz w:val="20"/>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1">
    <w:nsid w:val="24CB2827"/>
    <w:multiLevelType w:val="hybridMultilevel"/>
    <w:tmpl w:val="5706D4F8"/>
    <w:lvl w:ilvl="0" w:tplc="E7BE201A">
      <w:start w:val="3"/>
      <w:numFmt w:val="decimal"/>
      <w:lvlText w:val="%1."/>
      <w:lvlJc w:val="left"/>
      <w:pPr>
        <w:tabs>
          <w:tab w:val="num" w:pos="720"/>
        </w:tabs>
        <w:ind w:left="720" w:hanging="360"/>
      </w:pPr>
    </w:lvl>
    <w:lvl w:ilvl="1" w:tplc="D1C64D34" w:tentative="1">
      <w:start w:val="1"/>
      <w:numFmt w:val="decimal"/>
      <w:lvlText w:val="%2."/>
      <w:lvlJc w:val="left"/>
      <w:pPr>
        <w:tabs>
          <w:tab w:val="num" w:pos="1440"/>
        </w:tabs>
        <w:ind w:left="1440" w:hanging="360"/>
      </w:pPr>
    </w:lvl>
    <w:lvl w:ilvl="2" w:tplc="38BCE0E8" w:tentative="1">
      <w:start w:val="1"/>
      <w:numFmt w:val="decimal"/>
      <w:lvlText w:val="%3."/>
      <w:lvlJc w:val="left"/>
      <w:pPr>
        <w:tabs>
          <w:tab w:val="num" w:pos="2160"/>
        </w:tabs>
        <w:ind w:left="2160" w:hanging="360"/>
      </w:pPr>
    </w:lvl>
    <w:lvl w:ilvl="3" w:tplc="CF9C36B2" w:tentative="1">
      <w:start w:val="1"/>
      <w:numFmt w:val="decimal"/>
      <w:lvlText w:val="%4."/>
      <w:lvlJc w:val="left"/>
      <w:pPr>
        <w:tabs>
          <w:tab w:val="num" w:pos="2880"/>
        </w:tabs>
        <w:ind w:left="2880" w:hanging="360"/>
      </w:pPr>
    </w:lvl>
    <w:lvl w:ilvl="4" w:tplc="AF085B8A" w:tentative="1">
      <w:start w:val="1"/>
      <w:numFmt w:val="decimal"/>
      <w:lvlText w:val="%5."/>
      <w:lvlJc w:val="left"/>
      <w:pPr>
        <w:tabs>
          <w:tab w:val="num" w:pos="3600"/>
        </w:tabs>
        <w:ind w:left="3600" w:hanging="360"/>
      </w:pPr>
    </w:lvl>
    <w:lvl w:ilvl="5" w:tplc="52B458F6" w:tentative="1">
      <w:start w:val="1"/>
      <w:numFmt w:val="decimal"/>
      <w:lvlText w:val="%6."/>
      <w:lvlJc w:val="left"/>
      <w:pPr>
        <w:tabs>
          <w:tab w:val="num" w:pos="4320"/>
        </w:tabs>
        <w:ind w:left="4320" w:hanging="360"/>
      </w:pPr>
    </w:lvl>
    <w:lvl w:ilvl="6" w:tplc="3F701DB4" w:tentative="1">
      <w:start w:val="1"/>
      <w:numFmt w:val="decimal"/>
      <w:lvlText w:val="%7."/>
      <w:lvlJc w:val="left"/>
      <w:pPr>
        <w:tabs>
          <w:tab w:val="num" w:pos="5040"/>
        </w:tabs>
        <w:ind w:left="5040" w:hanging="360"/>
      </w:pPr>
    </w:lvl>
    <w:lvl w:ilvl="7" w:tplc="E426400E" w:tentative="1">
      <w:start w:val="1"/>
      <w:numFmt w:val="decimal"/>
      <w:lvlText w:val="%8."/>
      <w:lvlJc w:val="left"/>
      <w:pPr>
        <w:tabs>
          <w:tab w:val="num" w:pos="5760"/>
        </w:tabs>
        <w:ind w:left="5760" w:hanging="360"/>
      </w:pPr>
    </w:lvl>
    <w:lvl w:ilvl="8" w:tplc="E7A8941C" w:tentative="1">
      <w:start w:val="1"/>
      <w:numFmt w:val="decimal"/>
      <w:lvlText w:val="%9."/>
      <w:lvlJc w:val="left"/>
      <w:pPr>
        <w:tabs>
          <w:tab w:val="num" w:pos="6480"/>
        </w:tabs>
        <w:ind w:left="6480" w:hanging="360"/>
      </w:pPr>
    </w:lvl>
  </w:abstractNum>
  <w:abstractNum w:abstractNumId="12">
    <w:nsid w:val="279F362A"/>
    <w:multiLevelType w:val="hybridMultilevel"/>
    <w:tmpl w:val="4BA2DEF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2A704ED7"/>
    <w:multiLevelType w:val="multilevel"/>
    <w:tmpl w:val="86F26C3C"/>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color w:val="00206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F882713"/>
    <w:multiLevelType w:val="hybridMultilevel"/>
    <w:tmpl w:val="667402EA"/>
    <w:lvl w:ilvl="0" w:tplc="FB6ACE00">
      <w:start w:val="1"/>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32C45655"/>
    <w:multiLevelType w:val="hybridMultilevel"/>
    <w:tmpl w:val="A46E80CA"/>
    <w:lvl w:ilvl="0" w:tplc="62AECB9A">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34F25C1"/>
    <w:multiLevelType w:val="singleLevel"/>
    <w:tmpl w:val="DF4881DC"/>
    <w:lvl w:ilvl="0">
      <w:start w:val="1"/>
      <w:numFmt w:val="decimal"/>
      <w:pStyle w:val="numbers"/>
      <w:lvlText w:val="%1."/>
      <w:lvlJc w:val="left"/>
      <w:pPr>
        <w:tabs>
          <w:tab w:val="num" w:pos="360"/>
        </w:tabs>
        <w:ind w:left="360" w:hanging="360"/>
      </w:pPr>
    </w:lvl>
  </w:abstractNum>
  <w:abstractNum w:abstractNumId="17">
    <w:nsid w:val="33DC41B2"/>
    <w:multiLevelType w:val="hybridMultilevel"/>
    <w:tmpl w:val="F47605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35D742AA"/>
    <w:multiLevelType w:val="hybridMultilevel"/>
    <w:tmpl w:val="5D249C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76B4551"/>
    <w:multiLevelType w:val="hybridMultilevel"/>
    <w:tmpl w:val="E466BC12"/>
    <w:lvl w:ilvl="0" w:tplc="8B5A89B8">
      <w:start w:val="4"/>
      <w:numFmt w:val="decimal"/>
      <w:lvlText w:val="%1."/>
      <w:lvlJc w:val="left"/>
      <w:pPr>
        <w:tabs>
          <w:tab w:val="num" w:pos="720"/>
        </w:tabs>
        <w:ind w:left="720" w:hanging="360"/>
      </w:pPr>
    </w:lvl>
    <w:lvl w:ilvl="1" w:tplc="CC4E7442" w:tentative="1">
      <w:start w:val="1"/>
      <w:numFmt w:val="decimal"/>
      <w:lvlText w:val="%2."/>
      <w:lvlJc w:val="left"/>
      <w:pPr>
        <w:tabs>
          <w:tab w:val="num" w:pos="1440"/>
        </w:tabs>
        <w:ind w:left="1440" w:hanging="360"/>
      </w:pPr>
    </w:lvl>
    <w:lvl w:ilvl="2" w:tplc="83B67E48" w:tentative="1">
      <w:start w:val="1"/>
      <w:numFmt w:val="decimal"/>
      <w:lvlText w:val="%3."/>
      <w:lvlJc w:val="left"/>
      <w:pPr>
        <w:tabs>
          <w:tab w:val="num" w:pos="2160"/>
        </w:tabs>
        <w:ind w:left="2160" w:hanging="360"/>
      </w:pPr>
    </w:lvl>
    <w:lvl w:ilvl="3" w:tplc="0BEEE996" w:tentative="1">
      <w:start w:val="1"/>
      <w:numFmt w:val="decimal"/>
      <w:lvlText w:val="%4."/>
      <w:lvlJc w:val="left"/>
      <w:pPr>
        <w:tabs>
          <w:tab w:val="num" w:pos="2880"/>
        </w:tabs>
        <w:ind w:left="2880" w:hanging="360"/>
      </w:pPr>
    </w:lvl>
    <w:lvl w:ilvl="4" w:tplc="B280572A" w:tentative="1">
      <w:start w:val="1"/>
      <w:numFmt w:val="decimal"/>
      <w:lvlText w:val="%5."/>
      <w:lvlJc w:val="left"/>
      <w:pPr>
        <w:tabs>
          <w:tab w:val="num" w:pos="3600"/>
        </w:tabs>
        <w:ind w:left="3600" w:hanging="360"/>
      </w:pPr>
    </w:lvl>
    <w:lvl w:ilvl="5" w:tplc="3E768212" w:tentative="1">
      <w:start w:val="1"/>
      <w:numFmt w:val="decimal"/>
      <w:lvlText w:val="%6."/>
      <w:lvlJc w:val="left"/>
      <w:pPr>
        <w:tabs>
          <w:tab w:val="num" w:pos="4320"/>
        </w:tabs>
        <w:ind w:left="4320" w:hanging="360"/>
      </w:pPr>
    </w:lvl>
    <w:lvl w:ilvl="6" w:tplc="826CE772" w:tentative="1">
      <w:start w:val="1"/>
      <w:numFmt w:val="decimal"/>
      <w:lvlText w:val="%7."/>
      <w:lvlJc w:val="left"/>
      <w:pPr>
        <w:tabs>
          <w:tab w:val="num" w:pos="5040"/>
        </w:tabs>
        <w:ind w:left="5040" w:hanging="360"/>
      </w:pPr>
    </w:lvl>
    <w:lvl w:ilvl="7" w:tplc="8FBED56E" w:tentative="1">
      <w:start w:val="1"/>
      <w:numFmt w:val="decimal"/>
      <w:lvlText w:val="%8."/>
      <w:lvlJc w:val="left"/>
      <w:pPr>
        <w:tabs>
          <w:tab w:val="num" w:pos="5760"/>
        </w:tabs>
        <w:ind w:left="5760" w:hanging="360"/>
      </w:pPr>
    </w:lvl>
    <w:lvl w:ilvl="8" w:tplc="8580FCBA" w:tentative="1">
      <w:start w:val="1"/>
      <w:numFmt w:val="decimal"/>
      <w:lvlText w:val="%9."/>
      <w:lvlJc w:val="left"/>
      <w:pPr>
        <w:tabs>
          <w:tab w:val="num" w:pos="6480"/>
        </w:tabs>
        <w:ind w:left="6480" w:hanging="360"/>
      </w:pPr>
    </w:lvl>
  </w:abstractNum>
  <w:abstractNum w:abstractNumId="20">
    <w:nsid w:val="38513371"/>
    <w:multiLevelType w:val="hybridMultilevel"/>
    <w:tmpl w:val="AD22A7DE"/>
    <w:lvl w:ilvl="0" w:tplc="900CAB92">
      <w:start w:val="1"/>
      <w:numFmt w:val="lowerLetter"/>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nsid w:val="429339C9"/>
    <w:multiLevelType w:val="hybridMultilevel"/>
    <w:tmpl w:val="44DE6C5C"/>
    <w:lvl w:ilvl="0" w:tplc="74403572">
      <w:start w:val="7"/>
      <w:numFmt w:val="decimal"/>
      <w:lvlText w:val="%1."/>
      <w:lvlJc w:val="left"/>
      <w:pPr>
        <w:tabs>
          <w:tab w:val="num" w:pos="720"/>
        </w:tabs>
        <w:ind w:left="720" w:hanging="360"/>
      </w:pPr>
    </w:lvl>
    <w:lvl w:ilvl="1" w:tplc="D988E7A4" w:tentative="1">
      <w:start w:val="1"/>
      <w:numFmt w:val="decimal"/>
      <w:lvlText w:val="%2."/>
      <w:lvlJc w:val="left"/>
      <w:pPr>
        <w:tabs>
          <w:tab w:val="num" w:pos="1440"/>
        </w:tabs>
        <w:ind w:left="1440" w:hanging="360"/>
      </w:pPr>
    </w:lvl>
    <w:lvl w:ilvl="2" w:tplc="0988061A" w:tentative="1">
      <w:start w:val="1"/>
      <w:numFmt w:val="decimal"/>
      <w:lvlText w:val="%3."/>
      <w:lvlJc w:val="left"/>
      <w:pPr>
        <w:tabs>
          <w:tab w:val="num" w:pos="2160"/>
        </w:tabs>
        <w:ind w:left="2160" w:hanging="360"/>
      </w:pPr>
    </w:lvl>
    <w:lvl w:ilvl="3" w:tplc="67A48060" w:tentative="1">
      <w:start w:val="1"/>
      <w:numFmt w:val="decimal"/>
      <w:lvlText w:val="%4."/>
      <w:lvlJc w:val="left"/>
      <w:pPr>
        <w:tabs>
          <w:tab w:val="num" w:pos="2880"/>
        </w:tabs>
        <w:ind w:left="2880" w:hanging="360"/>
      </w:pPr>
    </w:lvl>
    <w:lvl w:ilvl="4" w:tplc="78F27B82" w:tentative="1">
      <w:start w:val="1"/>
      <w:numFmt w:val="decimal"/>
      <w:lvlText w:val="%5."/>
      <w:lvlJc w:val="left"/>
      <w:pPr>
        <w:tabs>
          <w:tab w:val="num" w:pos="3600"/>
        </w:tabs>
        <w:ind w:left="3600" w:hanging="360"/>
      </w:pPr>
    </w:lvl>
    <w:lvl w:ilvl="5" w:tplc="C8E8F0AA" w:tentative="1">
      <w:start w:val="1"/>
      <w:numFmt w:val="decimal"/>
      <w:lvlText w:val="%6."/>
      <w:lvlJc w:val="left"/>
      <w:pPr>
        <w:tabs>
          <w:tab w:val="num" w:pos="4320"/>
        </w:tabs>
        <w:ind w:left="4320" w:hanging="360"/>
      </w:pPr>
    </w:lvl>
    <w:lvl w:ilvl="6" w:tplc="60A052D2" w:tentative="1">
      <w:start w:val="1"/>
      <w:numFmt w:val="decimal"/>
      <w:lvlText w:val="%7."/>
      <w:lvlJc w:val="left"/>
      <w:pPr>
        <w:tabs>
          <w:tab w:val="num" w:pos="5040"/>
        </w:tabs>
        <w:ind w:left="5040" w:hanging="360"/>
      </w:pPr>
    </w:lvl>
    <w:lvl w:ilvl="7" w:tplc="C5E22A58" w:tentative="1">
      <w:start w:val="1"/>
      <w:numFmt w:val="decimal"/>
      <w:lvlText w:val="%8."/>
      <w:lvlJc w:val="left"/>
      <w:pPr>
        <w:tabs>
          <w:tab w:val="num" w:pos="5760"/>
        </w:tabs>
        <w:ind w:left="5760" w:hanging="360"/>
      </w:pPr>
    </w:lvl>
    <w:lvl w:ilvl="8" w:tplc="C28C2616" w:tentative="1">
      <w:start w:val="1"/>
      <w:numFmt w:val="decimal"/>
      <w:lvlText w:val="%9."/>
      <w:lvlJc w:val="left"/>
      <w:pPr>
        <w:tabs>
          <w:tab w:val="num" w:pos="6480"/>
        </w:tabs>
        <w:ind w:left="6480" w:hanging="360"/>
      </w:pPr>
    </w:lvl>
  </w:abstractNum>
  <w:abstractNum w:abstractNumId="22">
    <w:nsid w:val="42C66B02"/>
    <w:multiLevelType w:val="hybridMultilevel"/>
    <w:tmpl w:val="F76686BA"/>
    <w:lvl w:ilvl="0" w:tplc="3544FA78">
      <w:start w:val="6"/>
      <w:numFmt w:val="decimal"/>
      <w:lvlText w:val="%1."/>
      <w:lvlJc w:val="left"/>
      <w:pPr>
        <w:tabs>
          <w:tab w:val="num" w:pos="720"/>
        </w:tabs>
        <w:ind w:left="720" w:hanging="360"/>
      </w:pPr>
    </w:lvl>
    <w:lvl w:ilvl="1" w:tplc="8C58AE08" w:tentative="1">
      <w:start w:val="1"/>
      <w:numFmt w:val="decimal"/>
      <w:lvlText w:val="%2."/>
      <w:lvlJc w:val="left"/>
      <w:pPr>
        <w:tabs>
          <w:tab w:val="num" w:pos="1440"/>
        </w:tabs>
        <w:ind w:left="1440" w:hanging="360"/>
      </w:pPr>
    </w:lvl>
    <w:lvl w:ilvl="2" w:tplc="15F24D7E" w:tentative="1">
      <w:start w:val="1"/>
      <w:numFmt w:val="decimal"/>
      <w:lvlText w:val="%3."/>
      <w:lvlJc w:val="left"/>
      <w:pPr>
        <w:tabs>
          <w:tab w:val="num" w:pos="2160"/>
        </w:tabs>
        <w:ind w:left="2160" w:hanging="360"/>
      </w:pPr>
    </w:lvl>
    <w:lvl w:ilvl="3" w:tplc="4E381CB8" w:tentative="1">
      <w:start w:val="1"/>
      <w:numFmt w:val="decimal"/>
      <w:lvlText w:val="%4."/>
      <w:lvlJc w:val="left"/>
      <w:pPr>
        <w:tabs>
          <w:tab w:val="num" w:pos="2880"/>
        </w:tabs>
        <w:ind w:left="2880" w:hanging="360"/>
      </w:pPr>
    </w:lvl>
    <w:lvl w:ilvl="4" w:tplc="2CB0D692" w:tentative="1">
      <w:start w:val="1"/>
      <w:numFmt w:val="decimal"/>
      <w:lvlText w:val="%5."/>
      <w:lvlJc w:val="left"/>
      <w:pPr>
        <w:tabs>
          <w:tab w:val="num" w:pos="3600"/>
        </w:tabs>
        <w:ind w:left="3600" w:hanging="360"/>
      </w:pPr>
    </w:lvl>
    <w:lvl w:ilvl="5" w:tplc="45E03062" w:tentative="1">
      <w:start w:val="1"/>
      <w:numFmt w:val="decimal"/>
      <w:lvlText w:val="%6."/>
      <w:lvlJc w:val="left"/>
      <w:pPr>
        <w:tabs>
          <w:tab w:val="num" w:pos="4320"/>
        </w:tabs>
        <w:ind w:left="4320" w:hanging="360"/>
      </w:pPr>
    </w:lvl>
    <w:lvl w:ilvl="6" w:tplc="8774D0D6" w:tentative="1">
      <w:start w:val="1"/>
      <w:numFmt w:val="decimal"/>
      <w:lvlText w:val="%7."/>
      <w:lvlJc w:val="left"/>
      <w:pPr>
        <w:tabs>
          <w:tab w:val="num" w:pos="5040"/>
        </w:tabs>
        <w:ind w:left="5040" w:hanging="360"/>
      </w:pPr>
    </w:lvl>
    <w:lvl w:ilvl="7" w:tplc="2A3CA3FA" w:tentative="1">
      <w:start w:val="1"/>
      <w:numFmt w:val="decimal"/>
      <w:lvlText w:val="%8."/>
      <w:lvlJc w:val="left"/>
      <w:pPr>
        <w:tabs>
          <w:tab w:val="num" w:pos="5760"/>
        </w:tabs>
        <w:ind w:left="5760" w:hanging="360"/>
      </w:pPr>
    </w:lvl>
    <w:lvl w:ilvl="8" w:tplc="5F06BFBE" w:tentative="1">
      <w:start w:val="1"/>
      <w:numFmt w:val="decimal"/>
      <w:lvlText w:val="%9."/>
      <w:lvlJc w:val="left"/>
      <w:pPr>
        <w:tabs>
          <w:tab w:val="num" w:pos="6480"/>
        </w:tabs>
        <w:ind w:left="6480" w:hanging="360"/>
      </w:pPr>
    </w:lvl>
  </w:abstractNum>
  <w:abstractNum w:abstractNumId="23">
    <w:nsid w:val="45D82475"/>
    <w:multiLevelType w:val="hybridMultilevel"/>
    <w:tmpl w:val="876256F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8FA6442"/>
    <w:multiLevelType w:val="hybridMultilevel"/>
    <w:tmpl w:val="29BED744"/>
    <w:lvl w:ilvl="0" w:tplc="E96463BA">
      <w:start w:val="1"/>
      <w:numFmt w:val="bullet"/>
      <w:lvlText w:val=""/>
      <w:lvlJc w:val="left"/>
      <w:pPr>
        <w:tabs>
          <w:tab w:val="num" w:pos="720"/>
        </w:tabs>
        <w:ind w:left="720" w:hanging="360"/>
      </w:pPr>
      <w:rPr>
        <w:rFonts w:ascii="Symbol" w:hAnsi="Symbol" w:hint="default"/>
        <w:sz w:val="20"/>
      </w:rPr>
    </w:lvl>
    <w:lvl w:ilvl="1" w:tplc="4EA22F6C" w:tentative="1">
      <w:start w:val="1"/>
      <w:numFmt w:val="bullet"/>
      <w:lvlText w:val="o"/>
      <w:lvlJc w:val="left"/>
      <w:pPr>
        <w:tabs>
          <w:tab w:val="num" w:pos="1440"/>
        </w:tabs>
        <w:ind w:left="1440" w:hanging="360"/>
      </w:pPr>
      <w:rPr>
        <w:rFonts w:ascii="Courier New" w:hAnsi="Courier New" w:hint="default"/>
        <w:sz w:val="20"/>
      </w:rPr>
    </w:lvl>
    <w:lvl w:ilvl="2" w:tplc="C18837BE" w:tentative="1">
      <w:start w:val="1"/>
      <w:numFmt w:val="bullet"/>
      <w:lvlText w:val=""/>
      <w:lvlJc w:val="left"/>
      <w:pPr>
        <w:tabs>
          <w:tab w:val="num" w:pos="2160"/>
        </w:tabs>
        <w:ind w:left="2160" w:hanging="360"/>
      </w:pPr>
      <w:rPr>
        <w:rFonts w:ascii="Wingdings" w:hAnsi="Wingdings" w:hint="default"/>
        <w:sz w:val="20"/>
      </w:rPr>
    </w:lvl>
    <w:lvl w:ilvl="3" w:tplc="D51E9C5A" w:tentative="1">
      <w:start w:val="1"/>
      <w:numFmt w:val="bullet"/>
      <w:lvlText w:val=""/>
      <w:lvlJc w:val="left"/>
      <w:pPr>
        <w:tabs>
          <w:tab w:val="num" w:pos="2880"/>
        </w:tabs>
        <w:ind w:left="2880" w:hanging="360"/>
      </w:pPr>
      <w:rPr>
        <w:rFonts w:ascii="Wingdings" w:hAnsi="Wingdings" w:hint="default"/>
        <w:sz w:val="20"/>
      </w:rPr>
    </w:lvl>
    <w:lvl w:ilvl="4" w:tplc="A6C68A56" w:tentative="1">
      <w:start w:val="1"/>
      <w:numFmt w:val="bullet"/>
      <w:lvlText w:val=""/>
      <w:lvlJc w:val="left"/>
      <w:pPr>
        <w:tabs>
          <w:tab w:val="num" w:pos="3600"/>
        </w:tabs>
        <w:ind w:left="3600" w:hanging="360"/>
      </w:pPr>
      <w:rPr>
        <w:rFonts w:ascii="Wingdings" w:hAnsi="Wingdings" w:hint="default"/>
        <w:sz w:val="20"/>
      </w:rPr>
    </w:lvl>
    <w:lvl w:ilvl="5" w:tplc="9A321F08" w:tentative="1">
      <w:start w:val="1"/>
      <w:numFmt w:val="bullet"/>
      <w:lvlText w:val=""/>
      <w:lvlJc w:val="left"/>
      <w:pPr>
        <w:tabs>
          <w:tab w:val="num" w:pos="4320"/>
        </w:tabs>
        <w:ind w:left="4320" w:hanging="360"/>
      </w:pPr>
      <w:rPr>
        <w:rFonts w:ascii="Wingdings" w:hAnsi="Wingdings" w:hint="default"/>
        <w:sz w:val="20"/>
      </w:rPr>
    </w:lvl>
    <w:lvl w:ilvl="6" w:tplc="D908C746" w:tentative="1">
      <w:start w:val="1"/>
      <w:numFmt w:val="bullet"/>
      <w:lvlText w:val=""/>
      <w:lvlJc w:val="left"/>
      <w:pPr>
        <w:tabs>
          <w:tab w:val="num" w:pos="5040"/>
        </w:tabs>
        <w:ind w:left="5040" w:hanging="360"/>
      </w:pPr>
      <w:rPr>
        <w:rFonts w:ascii="Wingdings" w:hAnsi="Wingdings" w:hint="default"/>
        <w:sz w:val="20"/>
      </w:rPr>
    </w:lvl>
    <w:lvl w:ilvl="7" w:tplc="672A3120" w:tentative="1">
      <w:start w:val="1"/>
      <w:numFmt w:val="bullet"/>
      <w:lvlText w:val=""/>
      <w:lvlJc w:val="left"/>
      <w:pPr>
        <w:tabs>
          <w:tab w:val="num" w:pos="5760"/>
        </w:tabs>
        <w:ind w:left="5760" w:hanging="360"/>
      </w:pPr>
      <w:rPr>
        <w:rFonts w:ascii="Wingdings" w:hAnsi="Wingdings" w:hint="default"/>
        <w:sz w:val="20"/>
      </w:rPr>
    </w:lvl>
    <w:lvl w:ilvl="8" w:tplc="E68E57B6"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9C750E"/>
    <w:multiLevelType w:val="hybridMultilevel"/>
    <w:tmpl w:val="B128C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BAE0BC1"/>
    <w:multiLevelType w:val="hybridMultilevel"/>
    <w:tmpl w:val="A6E04992"/>
    <w:lvl w:ilvl="0" w:tplc="1C090017">
      <w:start w:val="1"/>
      <w:numFmt w:val="lowerLetter"/>
      <w:lvlText w:val="%1)"/>
      <w:lvlJc w:val="left"/>
      <w:pPr>
        <w:ind w:left="360" w:hanging="360"/>
      </w:pPr>
    </w:lvl>
    <w:lvl w:ilvl="1" w:tplc="F61A01E4">
      <w:numFmt w:val="bullet"/>
      <w:lvlText w:val="-"/>
      <w:lvlJc w:val="left"/>
      <w:pPr>
        <w:ind w:left="1080" w:hanging="360"/>
      </w:pPr>
      <w:rPr>
        <w:rFonts w:ascii="Calibri" w:eastAsia="Times New Roman" w:hAnsi="Calibri" w:cs="Calibri"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nsid w:val="4D324AAB"/>
    <w:multiLevelType w:val="hybridMultilevel"/>
    <w:tmpl w:val="8F1461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E280BA3"/>
    <w:multiLevelType w:val="hybridMultilevel"/>
    <w:tmpl w:val="47B4159A"/>
    <w:lvl w:ilvl="0" w:tplc="C52222A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6C10DF"/>
    <w:multiLevelType w:val="hybridMultilevel"/>
    <w:tmpl w:val="CEB69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0910693"/>
    <w:multiLevelType w:val="hybridMultilevel"/>
    <w:tmpl w:val="D08E8BFC"/>
    <w:lvl w:ilvl="0" w:tplc="C52222A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11673E3"/>
    <w:multiLevelType w:val="hybridMultilevel"/>
    <w:tmpl w:val="D44AACB8"/>
    <w:lvl w:ilvl="0" w:tplc="1A5EF31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E2618DB"/>
    <w:multiLevelType w:val="hybridMultilevel"/>
    <w:tmpl w:val="7F1E3198"/>
    <w:lvl w:ilvl="0" w:tplc="0A0CC820">
      <w:start w:val="2"/>
      <w:numFmt w:val="decimal"/>
      <w:lvlText w:val="%1."/>
      <w:lvlJc w:val="left"/>
      <w:pPr>
        <w:tabs>
          <w:tab w:val="num" w:pos="720"/>
        </w:tabs>
        <w:ind w:left="720" w:hanging="360"/>
      </w:pPr>
    </w:lvl>
    <w:lvl w:ilvl="1" w:tplc="1C2ADCE8" w:tentative="1">
      <w:start w:val="1"/>
      <w:numFmt w:val="decimal"/>
      <w:lvlText w:val="%2."/>
      <w:lvlJc w:val="left"/>
      <w:pPr>
        <w:tabs>
          <w:tab w:val="num" w:pos="1440"/>
        </w:tabs>
        <w:ind w:left="1440" w:hanging="360"/>
      </w:pPr>
    </w:lvl>
    <w:lvl w:ilvl="2" w:tplc="5C6E6E98" w:tentative="1">
      <w:start w:val="1"/>
      <w:numFmt w:val="decimal"/>
      <w:lvlText w:val="%3."/>
      <w:lvlJc w:val="left"/>
      <w:pPr>
        <w:tabs>
          <w:tab w:val="num" w:pos="2160"/>
        </w:tabs>
        <w:ind w:left="2160" w:hanging="360"/>
      </w:pPr>
    </w:lvl>
    <w:lvl w:ilvl="3" w:tplc="4A96E636" w:tentative="1">
      <w:start w:val="1"/>
      <w:numFmt w:val="decimal"/>
      <w:lvlText w:val="%4."/>
      <w:lvlJc w:val="left"/>
      <w:pPr>
        <w:tabs>
          <w:tab w:val="num" w:pos="2880"/>
        </w:tabs>
        <w:ind w:left="2880" w:hanging="360"/>
      </w:pPr>
    </w:lvl>
    <w:lvl w:ilvl="4" w:tplc="279A8E34" w:tentative="1">
      <w:start w:val="1"/>
      <w:numFmt w:val="decimal"/>
      <w:lvlText w:val="%5."/>
      <w:lvlJc w:val="left"/>
      <w:pPr>
        <w:tabs>
          <w:tab w:val="num" w:pos="3600"/>
        </w:tabs>
        <w:ind w:left="3600" w:hanging="360"/>
      </w:pPr>
    </w:lvl>
    <w:lvl w:ilvl="5" w:tplc="D69EEC6A" w:tentative="1">
      <w:start w:val="1"/>
      <w:numFmt w:val="decimal"/>
      <w:lvlText w:val="%6."/>
      <w:lvlJc w:val="left"/>
      <w:pPr>
        <w:tabs>
          <w:tab w:val="num" w:pos="4320"/>
        </w:tabs>
        <w:ind w:left="4320" w:hanging="360"/>
      </w:pPr>
    </w:lvl>
    <w:lvl w:ilvl="6" w:tplc="4B44D5BC" w:tentative="1">
      <w:start w:val="1"/>
      <w:numFmt w:val="decimal"/>
      <w:lvlText w:val="%7."/>
      <w:lvlJc w:val="left"/>
      <w:pPr>
        <w:tabs>
          <w:tab w:val="num" w:pos="5040"/>
        </w:tabs>
        <w:ind w:left="5040" w:hanging="360"/>
      </w:pPr>
    </w:lvl>
    <w:lvl w:ilvl="7" w:tplc="05FE34CC" w:tentative="1">
      <w:start w:val="1"/>
      <w:numFmt w:val="decimal"/>
      <w:lvlText w:val="%8."/>
      <w:lvlJc w:val="left"/>
      <w:pPr>
        <w:tabs>
          <w:tab w:val="num" w:pos="5760"/>
        </w:tabs>
        <w:ind w:left="5760" w:hanging="360"/>
      </w:pPr>
    </w:lvl>
    <w:lvl w:ilvl="8" w:tplc="CE1A77F4" w:tentative="1">
      <w:start w:val="1"/>
      <w:numFmt w:val="decimal"/>
      <w:lvlText w:val="%9."/>
      <w:lvlJc w:val="left"/>
      <w:pPr>
        <w:tabs>
          <w:tab w:val="num" w:pos="6480"/>
        </w:tabs>
        <w:ind w:left="6480" w:hanging="360"/>
      </w:pPr>
    </w:lvl>
  </w:abstractNum>
  <w:abstractNum w:abstractNumId="35">
    <w:nsid w:val="60F27BAC"/>
    <w:multiLevelType w:val="hybridMultilevel"/>
    <w:tmpl w:val="B728138A"/>
    <w:lvl w:ilvl="0" w:tplc="FD16E4EE">
      <w:start w:val="1"/>
      <w:numFmt w:val="decimal"/>
      <w:pStyle w:val="FigureReference"/>
      <w:lvlText w:val="Figure %1"/>
      <w:lvlJc w:val="left"/>
      <w:pPr>
        <w:ind w:left="1021" w:hanging="1021"/>
      </w:pPr>
      <w:rPr>
        <w:rFonts w:cs="Times New Roman" w:hint="default"/>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1303449"/>
    <w:multiLevelType w:val="hybridMultilevel"/>
    <w:tmpl w:val="297A7B46"/>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67E3A32"/>
    <w:multiLevelType w:val="hybridMultilevel"/>
    <w:tmpl w:val="353A7D90"/>
    <w:lvl w:ilvl="0" w:tplc="FFFFFFFF">
      <w:start w:val="1"/>
      <w:numFmt w:val="bullet"/>
      <w:pStyle w:val="BodyNomaBulletsArial"/>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nsid w:val="6B252823"/>
    <w:multiLevelType w:val="hybridMultilevel"/>
    <w:tmpl w:val="49A4AE0E"/>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nsid w:val="6E5B7906"/>
    <w:multiLevelType w:val="hybridMultilevel"/>
    <w:tmpl w:val="40BE38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03A290A"/>
    <w:multiLevelType w:val="hybridMultilevel"/>
    <w:tmpl w:val="49409408"/>
    <w:lvl w:ilvl="0" w:tplc="98383C92">
      <w:start w:val="1"/>
      <w:numFmt w:val="bullet"/>
      <w:lvlText w:val=""/>
      <w:lvlJc w:val="left"/>
      <w:pPr>
        <w:tabs>
          <w:tab w:val="num" w:pos="360"/>
        </w:tabs>
        <w:ind w:left="360" w:hanging="360"/>
      </w:pPr>
      <w:rPr>
        <w:rFonts w:ascii="Symbol" w:hAnsi="Symbol" w:hint="default"/>
        <w:sz w:val="20"/>
      </w:rPr>
    </w:lvl>
    <w:lvl w:ilvl="1" w:tplc="3ABA7BD6" w:tentative="1">
      <w:start w:val="1"/>
      <w:numFmt w:val="bullet"/>
      <w:lvlText w:val="o"/>
      <w:lvlJc w:val="left"/>
      <w:pPr>
        <w:tabs>
          <w:tab w:val="num" w:pos="1080"/>
        </w:tabs>
        <w:ind w:left="1080" w:hanging="360"/>
      </w:pPr>
      <w:rPr>
        <w:rFonts w:ascii="Courier New" w:hAnsi="Courier New" w:hint="default"/>
        <w:sz w:val="20"/>
      </w:rPr>
    </w:lvl>
    <w:lvl w:ilvl="2" w:tplc="4A284D92" w:tentative="1">
      <w:start w:val="1"/>
      <w:numFmt w:val="bullet"/>
      <w:lvlText w:val=""/>
      <w:lvlJc w:val="left"/>
      <w:pPr>
        <w:tabs>
          <w:tab w:val="num" w:pos="1800"/>
        </w:tabs>
        <w:ind w:left="1800" w:hanging="360"/>
      </w:pPr>
      <w:rPr>
        <w:rFonts w:ascii="Wingdings" w:hAnsi="Wingdings" w:hint="default"/>
        <w:sz w:val="20"/>
      </w:rPr>
    </w:lvl>
    <w:lvl w:ilvl="3" w:tplc="3F287612" w:tentative="1">
      <w:start w:val="1"/>
      <w:numFmt w:val="bullet"/>
      <w:lvlText w:val=""/>
      <w:lvlJc w:val="left"/>
      <w:pPr>
        <w:tabs>
          <w:tab w:val="num" w:pos="2520"/>
        </w:tabs>
        <w:ind w:left="2520" w:hanging="360"/>
      </w:pPr>
      <w:rPr>
        <w:rFonts w:ascii="Wingdings" w:hAnsi="Wingdings" w:hint="default"/>
        <w:sz w:val="20"/>
      </w:rPr>
    </w:lvl>
    <w:lvl w:ilvl="4" w:tplc="35C41BDC" w:tentative="1">
      <w:start w:val="1"/>
      <w:numFmt w:val="bullet"/>
      <w:lvlText w:val=""/>
      <w:lvlJc w:val="left"/>
      <w:pPr>
        <w:tabs>
          <w:tab w:val="num" w:pos="3240"/>
        </w:tabs>
        <w:ind w:left="3240" w:hanging="360"/>
      </w:pPr>
      <w:rPr>
        <w:rFonts w:ascii="Wingdings" w:hAnsi="Wingdings" w:hint="default"/>
        <w:sz w:val="20"/>
      </w:rPr>
    </w:lvl>
    <w:lvl w:ilvl="5" w:tplc="0F7EDA5A" w:tentative="1">
      <w:start w:val="1"/>
      <w:numFmt w:val="bullet"/>
      <w:lvlText w:val=""/>
      <w:lvlJc w:val="left"/>
      <w:pPr>
        <w:tabs>
          <w:tab w:val="num" w:pos="3960"/>
        </w:tabs>
        <w:ind w:left="3960" w:hanging="360"/>
      </w:pPr>
      <w:rPr>
        <w:rFonts w:ascii="Wingdings" w:hAnsi="Wingdings" w:hint="default"/>
        <w:sz w:val="20"/>
      </w:rPr>
    </w:lvl>
    <w:lvl w:ilvl="6" w:tplc="370ACA9C" w:tentative="1">
      <w:start w:val="1"/>
      <w:numFmt w:val="bullet"/>
      <w:lvlText w:val=""/>
      <w:lvlJc w:val="left"/>
      <w:pPr>
        <w:tabs>
          <w:tab w:val="num" w:pos="4680"/>
        </w:tabs>
        <w:ind w:left="4680" w:hanging="360"/>
      </w:pPr>
      <w:rPr>
        <w:rFonts w:ascii="Wingdings" w:hAnsi="Wingdings" w:hint="default"/>
        <w:sz w:val="20"/>
      </w:rPr>
    </w:lvl>
    <w:lvl w:ilvl="7" w:tplc="7D5CAC50" w:tentative="1">
      <w:start w:val="1"/>
      <w:numFmt w:val="bullet"/>
      <w:lvlText w:val=""/>
      <w:lvlJc w:val="left"/>
      <w:pPr>
        <w:tabs>
          <w:tab w:val="num" w:pos="5400"/>
        </w:tabs>
        <w:ind w:left="5400" w:hanging="360"/>
      </w:pPr>
      <w:rPr>
        <w:rFonts w:ascii="Wingdings" w:hAnsi="Wingdings" w:hint="default"/>
        <w:sz w:val="20"/>
      </w:rPr>
    </w:lvl>
    <w:lvl w:ilvl="8" w:tplc="29A05A02" w:tentative="1">
      <w:start w:val="1"/>
      <w:numFmt w:val="bullet"/>
      <w:lvlText w:val=""/>
      <w:lvlJc w:val="left"/>
      <w:pPr>
        <w:tabs>
          <w:tab w:val="num" w:pos="6120"/>
        </w:tabs>
        <w:ind w:left="6120" w:hanging="360"/>
      </w:pPr>
      <w:rPr>
        <w:rFonts w:ascii="Wingdings" w:hAnsi="Wingdings" w:hint="default"/>
        <w:sz w:val="20"/>
      </w:rPr>
    </w:lvl>
  </w:abstractNum>
  <w:abstractNum w:abstractNumId="41">
    <w:nsid w:val="73D45F40"/>
    <w:multiLevelType w:val="hybridMultilevel"/>
    <w:tmpl w:val="4A82DC9C"/>
    <w:lvl w:ilvl="0" w:tplc="D626FBEC">
      <w:start w:val="1"/>
      <w:numFmt w:val="lowerLetter"/>
      <w:lvlText w:val="%1)"/>
      <w:lvlJc w:val="left"/>
      <w:pPr>
        <w:tabs>
          <w:tab w:val="num" w:pos="360"/>
        </w:tabs>
        <w:ind w:left="360" w:hanging="360"/>
      </w:p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42">
    <w:nsid w:val="74536734"/>
    <w:multiLevelType w:val="multilevel"/>
    <w:tmpl w:val="25FEFC3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76641AD0"/>
    <w:multiLevelType w:val="hybridMultilevel"/>
    <w:tmpl w:val="9F0AEB64"/>
    <w:lvl w:ilvl="0" w:tplc="1B4A3CEC">
      <w:start w:val="1"/>
      <w:numFmt w:val="bullet"/>
      <w:lvlText w:val=""/>
      <w:lvlJc w:val="left"/>
      <w:pPr>
        <w:tabs>
          <w:tab w:val="num" w:pos="720"/>
        </w:tabs>
        <w:ind w:left="720" w:hanging="360"/>
      </w:pPr>
      <w:rPr>
        <w:rFonts w:ascii="Symbol" w:hAnsi="Symbol" w:hint="default"/>
        <w:sz w:val="20"/>
      </w:rPr>
    </w:lvl>
    <w:lvl w:ilvl="1" w:tplc="96360C6C" w:tentative="1">
      <w:start w:val="1"/>
      <w:numFmt w:val="bullet"/>
      <w:lvlText w:val="o"/>
      <w:lvlJc w:val="left"/>
      <w:pPr>
        <w:tabs>
          <w:tab w:val="num" w:pos="1440"/>
        </w:tabs>
        <w:ind w:left="1440" w:hanging="360"/>
      </w:pPr>
      <w:rPr>
        <w:rFonts w:ascii="Courier New" w:hAnsi="Courier New" w:hint="default"/>
        <w:sz w:val="20"/>
      </w:rPr>
    </w:lvl>
    <w:lvl w:ilvl="2" w:tplc="C960235E" w:tentative="1">
      <w:start w:val="1"/>
      <w:numFmt w:val="bullet"/>
      <w:lvlText w:val=""/>
      <w:lvlJc w:val="left"/>
      <w:pPr>
        <w:tabs>
          <w:tab w:val="num" w:pos="2160"/>
        </w:tabs>
        <w:ind w:left="2160" w:hanging="360"/>
      </w:pPr>
      <w:rPr>
        <w:rFonts w:ascii="Wingdings" w:hAnsi="Wingdings" w:hint="default"/>
        <w:sz w:val="20"/>
      </w:rPr>
    </w:lvl>
    <w:lvl w:ilvl="3" w:tplc="11AC47D6" w:tentative="1">
      <w:start w:val="1"/>
      <w:numFmt w:val="bullet"/>
      <w:lvlText w:val=""/>
      <w:lvlJc w:val="left"/>
      <w:pPr>
        <w:tabs>
          <w:tab w:val="num" w:pos="2880"/>
        </w:tabs>
        <w:ind w:left="2880" w:hanging="360"/>
      </w:pPr>
      <w:rPr>
        <w:rFonts w:ascii="Wingdings" w:hAnsi="Wingdings" w:hint="default"/>
        <w:sz w:val="20"/>
      </w:rPr>
    </w:lvl>
    <w:lvl w:ilvl="4" w:tplc="68C266FA" w:tentative="1">
      <w:start w:val="1"/>
      <w:numFmt w:val="bullet"/>
      <w:lvlText w:val=""/>
      <w:lvlJc w:val="left"/>
      <w:pPr>
        <w:tabs>
          <w:tab w:val="num" w:pos="3600"/>
        </w:tabs>
        <w:ind w:left="3600" w:hanging="360"/>
      </w:pPr>
      <w:rPr>
        <w:rFonts w:ascii="Wingdings" w:hAnsi="Wingdings" w:hint="default"/>
        <w:sz w:val="20"/>
      </w:rPr>
    </w:lvl>
    <w:lvl w:ilvl="5" w:tplc="0976420C" w:tentative="1">
      <w:start w:val="1"/>
      <w:numFmt w:val="bullet"/>
      <w:lvlText w:val=""/>
      <w:lvlJc w:val="left"/>
      <w:pPr>
        <w:tabs>
          <w:tab w:val="num" w:pos="4320"/>
        </w:tabs>
        <w:ind w:left="4320" w:hanging="360"/>
      </w:pPr>
      <w:rPr>
        <w:rFonts w:ascii="Wingdings" w:hAnsi="Wingdings" w:hint="default"/>
        <w:sz w:val="20"/>
      </w:rPr>
    </w:lvl>
    <w:lvl w:ilvl="6" w:tplc="23FE0D2E" w:tentative="1">
      <w:start w:val="1"/>
      <w:numFmt w:val="bullet"/>
      <w:lvlText w:val=""/>
      <w:lvlJc w:val="left"/>
      <w:pPr>
        <w:tabs>
          <w:tab w:val="num" w:pos="5040"/>
        </w:tabs>
        <w:ind w:left="5040" w:hanging="360"/>
      </w:pPr>
      <w:rPr>
        <w:rFonts w:ascii="Wingdings" w:hAnsi="Wingdings" w:hint="default"/>
        <w:sz w:val="20"/>
      </w:rPr>
    </w:lvl>
    <w:lvl w:ilvl="7" w:tplc="EE5A7B70" w:tentative="1">
      <w:start w:val="1"/>
      <w:numFmt w:val="bullet"/>
      <w:lvlText w:val=""/>
      <w:lvlJc w:val="left"/>
      <w:pPr>
        <w:tabs>
          <w:tab w:val="num" w:pos="5760"/>
        </w:tabs>
        <w:ind w:left="5760" w:hanging="360"/>
      </w:pPr>
      <w:rPr>
        <w:rFonts w:ascii="Wingdings" w:hAnsi="Wingdings" w:hint="default"/>
        <w:sz w:val="20"/>
      </w:rPr>
    </w:lvl>
    <w:lvl w:ilvl="8" w:tplc="F4900370"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6372E0"/>
    <w:multiLevelType w:val="hybridMultilevel"/>
    <w:tmpl w:val="A00ECC82"/>
    <w:lvl w:ilvl="0" w:tplc="7ECE1FBC">
      <w:start w:val="1"/>
      <w:numFmt w:val="bullet"/>
      <w:lvlText w:val="−"/>
      <w:lvlJc w:val="left"/>
      <w:pPr>
        <w:ind w:left="360" w:hanging="360"/>
      </w:pPr>
      <w:rPr>
        <w:rFonts w:ascii="Calibri" w:hAnsi="Calibri"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7BBC3D34"/>
    <w:multiLevelType w:val="hybridMultilevel"/>
    <w:tmpl w:val="6846D0BA"/>
    <w:lvl w:ilvl="0" w:tplc="C52222A2">
      <w:start w:val="1"/>
      <w:numFmt w:val="bullet"/>
      <w:lvlText w:val=""/>
      <w:lvlJc w:val="left"/>
      <w:pPr>
        <w:tabs>
          <w:tab w:val="num" w:pos="644"/>
        </w:tabs>
        <w:ind w:left="644" w:hanging="360"/>
      </w:pPr>
      <w:rPr>
        <w:rFonts w:ascii="Symbol" w:hAnsi="Symbol" w:hint="default"/>
        <w:sz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6">
    <w:nsid w:val="7C9F36D1"/>
    <w:multiLevelType w:val="hybridMultilevel"/>
    <w:tmpl w:val="5D0AC1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33"/>
  </w:num>
  <w:num w:numId="4">
    <w:abstractNumId w:val="10"/>
  </w:num>
  <w:num w:numId="5">
    <w:abstractNumId w:val="37"/>
  </w:num>
  <w:num w:numId="6">
    <w:abstractNumId w:val="8"/>
  </w:num>
  <w:num w:numId="7">
    <w:abstractNumId w:val="17"/>
  </w:num>
  <w:num w:numId="8">
    <w:abstractNumId w:val="26"/>
  </w:num>
  <w:num w:numId="9">
    <w:abstractNumId w:val="44"/>
  </w:num>
  <w:num w:numId="10">
    <w:abstractNumId w:val="39"/>
  </w:num>
  <w:num w:numId="11">
    <w:abstractNumId w:val="12"/>
  </w:num>
  <w:num w:numId="12">
    <w:abstractNumId w:val="16"/>
  </w:num>
  <w:num w:numId="13">
    <w:abstractNumId w:val="18"/>
  </w:num>
  <w:num w:numId="14">
    <w:abstractNumId w:val="46"/>
  </w:num>
  <w:num w:numId="15">
    <w:abstractNumId w:val="25"/>
  </w:num>
  <w:num w:numId="16">
    <w:abstractNumId w:val="9"/>
  </w:num>
  <w:num w:numId="17">
    <w:abstractNumId w:val="30"/>
  </w:num>
  <w:num w:numId="18">
    <w:abstractNumId w:val="27"/>
  </w:num>
  <w:num w:numId="19">
    <w:abstractNumId w:val="38"/>
  </w:num>
  <w:num w:numId="20">
    <w:abstractNumId w:val="29"/>
  </w:num>
  <w:num w:numId="21">
    <w:abstractNumId w:val="1"/>
  </w:num>
  <w:num w:numId="22">
    <w:abstractNumId w:val="45"/>
  </w:num>
  <w:num w:numId="23">
    <w:abstractNumId w:val="20"/>
  </w:num>
  <w:num w:numId="24">
    <w:abstractNumId w:val="0"/>
  </w:num>
  <w:num w:numId="25">
    <w:abstractNumId w:val="31"/>
  </w:num>
  <w:num w:numId="26">
    <w:abstractNumId w:val="43"/>
  </w:num>
  <w:num w:numId="27">
    <w:abstractNumId w:val="40"/>
  </w:num>
  <w:num w:numId="28">
    <w:abstractNumId w:val="24"/>
  </w:num>
  <w:num w:numId="29">
    <w:abstractNumId w:val="41"/>
  </w:num>
  <w:num w:numId="30">
    <w:abstractNumId w:val="42"/>
  </w:num>
  <w:num w:numId="31">
    <w:abstractNumId w:val="4"/>
  </w:num>
  <w:num w:numId="32">
    <w:abstractNumId w:val="13"/>
  </w:num>
  <w:num w:numId="33">
    <w:abstractNumId w:val="6"/>
  </w:num>
  <w:num w:numId="34">
    <w:abstractNumId w:val="36"/>
  </w:num>
  <w:num w:numId="35">
    <w:abstractNumId w:val="15"/>
  </w:num>
  <w:num w:numId="36">
    <w:abstractNumId w:val="3"/>
  </w:num>
  <w:num w:numId="37">
    <w:abstractNumId w:val="14"/>
  </w:num>
  <w:num w:numId="38">
    <w:abstractNumId w:val="7"/>
  </w:num>
  <w:num w:numId="39">
    <w:abstractNumId w:val="2"/>
  </w:num>
  <w:num w:numId="40">
    <w:abstractNumId w:val="34"/>
    <w:lvlOverride w:ilvl="0">
      <w:lvl w:ilvl="0" w:tplc="0A0CC820">
        <w:numFmt w:val="decimal"/>
        <w:lvlText w:val="%1."/>
        <w:lvlJc w:val="left"/>
      </w:lvl>
    </w:lvlOverride>
  </w:num>
  <w:num w:numId="41">
    <w:abstractNumId w:val="11"/>
    <w:lvlOverride w:ilvl="0">
      <w:lvl w:ilvl="0" w:tplc="E7BE201A">
        <w:numFmt w:val="decimal"/>
        <w:lvlText w:val="%1."/>
        <w:lvlJc w:val="left"/>
      </w:lvl>
    </w:lvlOverride>
  </w:num>
  <w:num w:numId="42">
    <w:abstractNumId w:val="19"/>
    <w:lvlOverride w:ilvl="0">
      <w:lvl w:ilvl="0" w:tplc="8B5A89B8">
        <w:numFmt w:val="decimal"/>
        <w:lvlText w:val="%1."/>
        <w:lvlJc w:val="left"/>
      </w:lvl>
    </w:lvlOverride>
  </w:num>
  <w:num w:numId="43">
    <w:abstractNumId w:val="5"/>
    <w:lvlOverride w:ilvl="0">
      <w:lvl w:ilvl="0" w:tplc="EA045E56">
        <w:numFmt w:val="decimal"/>
        <w:lvlText w:val="%1."/>
        <w:lvlJc w:val="left"/>
      </w:lvl>
    </w:lvlOverride>
  </w:num>
  <w:num w:numId="44">
    <w:abstractNumId w:val="22"/>
    <w:lvlOverride w:ilvl="0">
      <w:lvl w:ilvl="0" w:tplc="3544FA78">
        <w:numFmt w:val="decimal"/>
        <w:lvlText w:val="%1."/>
        <w:lvlJc w:val="left"/>
      </w:lvl>
    </w:lvlOverride>
  </w:num>
  <w:num w:numId="45">
    <w:abstractNumId w:val="21"/>
    <w:lvlOverride w:ilvl="0">
      <w:lvl w:ilvl="0" w:tplc="74403572">
        <w:numFmt w:val="decimal"/>
        <w:lvlText w:val="%1."/>
        <w:lvlJc w:val="left"/>
      </w:lvl>
    </w:lvlOverride>
  </w:num>
  <w:num w:numId="46">
    <w:abstractNumId w:val="32"/>
  </w:num>
  <w:num w:numId="47">
    <w:abstractNumId w:val="16"/>
    <w:lvlOverride w:ilvl="0">
      <w:startOverride w:val="1"/>
    </w:lvlOverride>
  </w:num>
  <w:num w:numId="4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oNotHyphenateCaps/>
  <w:drawingGridHorizontalSpacing w:val="120"/>
  <w:displayHorizontalDrawingGridEvery w:val="2"/>
  <w:characterSpacingControl w:val="doNotCompress"/>
  <w:hdrShapeDefaults>
    <o:shapedefaults v:ext="edit" spidmax="2050" style="mso-position-vertical-relative:line" fillcolor="#16ab1a" stroke="f">
      <v:fill color="#16ab1a" opacity="12452f"/>
      <v:stroke on="f"/>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0B07"/>
    <w:rsid w:val="000A66D7"/>
    <w:rsid w:val="0024653C"/>
    <w:rsid w:val="002A5010"/>
    <w:rsid w:val="002F7B5D"/>
    <w:rsid w:val="00360B07"/>
    <w:rsid w:val="004C5EE6"/>
    <w:rsid w:val="005033D9"/>
    <w:rsid w:val="007A2E92"/>
    <w:rsid w:val="00954E0E"/>
    <w:rsid w:val="00D52196"/>
    <w:rsid w:val="00E123D3"/>
    <w:rsid w:val="00E152B5"/>
    <w:rsid w:val="00F72B1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16ab1a" stroke="f">
      <v:fill color="#16ab1a" opacity="12452f"/>
      <v:stroke on="f"/>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rFonts w:cs="Calibri"/>
      <w:sz w:val="22"/>
      <w:szCs w:val="22"/>
      <w:lang w:val="en-GB" w:eastAsia="en-US"/>
    </w:rPr>
  </w:style>
  <w:style w:type="paragraph" w:styleId="Heading1">
    <w:name w:val="heading 1"/>
    <w:basedOn w:val="Normal"/>
    <w:next w:val="Normal"/>
    <w:qFormat/>
    <w:pPr>
      <w:keepNext/>
      <w:spacing w:after="240"/>
      <w:outlineLvl w:val="0"/>
    </w:pPr>
    <w:rPr>
      <w:rFonts w:ascii="Trebuchet MS" w:hAnsi="Trebuchet MS"/>
      <w:b/>
      <w:bCs/>
      <w:color w:val="021F59"/>
      <w:kern w:val="28"/>
      <w:sz w:val="40"/>
      <w:szCs w:val="40"/>
    </w:rPr>
  </w:style>
  <w:style w:type="paragraph" w:styleId="Heading2">
    <w:name w:val="heading 2"/>
    <w:basedOn w:val="Normal"/>
    <w:next w:val="Normal"/>
    <w:qFormat/>
    <w:pPr>
      <w:keepNext/>
      <w:spacing w:before="480" w:after="240"/>
      <w:outlineLvl w:val="1"/>
    </w:pPr>
    <w:rPr>
      <w:rFonts w:ascii="Trebuchet MS" w:hAnsi="Trebuchet MS"/>
      <w:b/>
      <w:bCs/>
      <w:color w:val="021F59"/>
      <w:sz w:val="32"/>
      <w:szCs w:val="32"/>
    </w:rPr>
  </w:style>
  <w:style w:type="paragraph" w:styleId="Heading3">
    <w:name w:val="heading 3"/>
    <w:basedOn w:val="Normal"/>
    <w:next w:val="Normal"/>
    <w:qFormat/>
    <w:pPr>
      <w:keepNext/>
      <w:spacing w:before="420" w:after="240"/>
      <w:outlineLvl w:val="2"/>
    </w:pPr>
    <w:rPr>
      <w:b/>
      <w:bCs/>
      <w:color w:val="002060"/>
      <w:sz w:val="28"/>
      <w:szCs w:val="28"/>
    </w:rPr>
  </w:style>
  <w:style w:type="paragraph" w:styleId="Heading4">
    <w:name w:val="heading 4"/>
    <w:basedOn w:val="Normal"/>
    <w:next w:val="Normal"/>
    <w:qFormat/>
    <w:pPr>
      <w:keepNext/>
      <w:spacing w:before="240" w:after="120"/>
      <w:outlineLvl w:val="3"/>
    </w:pPr>
    <w:rPr>
      <w:b/>
      <w:bCs/>
    </w:rPr>
  </w:style>
  <w:style w:type="paragraph" w:styleId="Heading5">
    <w:name w:val="heading 5"/>
    <w:basedOn w:val="Normal"/>
    <w:next w:val="Normal"/>
    <w:qFormat/>
    <w:pPr>
      <w:spacing w:before="200"/>
      <w:outlineLvl w:val="4"/>
    </w:pPr>
    <w:rPr>
      <w:rFonts w:ascii="Cambria" w:hAnsi="Cambria" w:cs="Cambria"/>
      <w:b/>
      <w:bCs/>
      <w:color w:val="7F7F7F"/>
    </w:rPr>
  </w:style>
  <w:style w:type="paragraph" w:styleId="Heading6">
    <w:name w:val="heading 6"/>
    <w:basedOn w:val="Normal"/>
    <w:next w:val="Normal"/>
    <w:qFormat/>
    <w:pPr>
      <w:spacing w:line="271" w:lineRule="auto"/>
      <w:outlineLvl w:val="5"/>
    </w:pPr>
    <w:rPr>
      <w:rFonts w:ascii="Cambria" w:hAnsi="Cambria" w:cs="Cambria"/>
      <w:b/>
      <w:bCs/>
      <w:i/>
      <w:iCs/>
      <w:color w:val="7F7F7F"/>
    </w:rPr>
  </w:style>
  <w:style w:type="paragraph" w:styleId="Heading7">
    <w:name w:val="heading 7"/>
    <w:basedOn w:val="Normal"/>
    <w:next w:val="Normal"/>
    <w:qFormat/>
    <w:pPr>
      <w:outlineLvl w:val="6"/>
    </w:pPr>
    <w:rPr>
      <w:rFonts w:ascii="Cambria" w:hAnsi="Cambria" w:cs="Cambria"/>
      <w:i/>
      <w:iCs/>
    </w:rPr>
  </w:style>
  <w:style w:type="paragraph" w:styleId="Heading8">
    <w:name w:val="heading 8"/>
    <w:basedOn w:val="Normal"/>
    <w:next w:val="Normal"/>
    <w:qFormat/>
    <w:pPr>
      <w:outlineLvl w:val="7"/>
    </w:pPr>
    <w:rPr>
      <w:rFonts w:ascii="Cambria" w:hAnsi="Cambria" w:cs="Cambria"/>
      <w:sz w:val="20"/>
      <w:szCs w:val="20"/>
    </w:rPr>
  </w:style>
  <w:style w:type="paragraph" w:styleId="Heading9">
    <w:name w:val="heading 9"/>
    <w:basedOn w:val="Normal"/>
    <w:next w:val="Normal"/>
    <w:qFormat/>
    <w:pPr>
      <w:outlineLvl w:val="8"/>
    </w:pPr>
    <w:rPr>
      <w:rFonts w:ascii="Cambria"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customStyle="1" w:styleId="Heading1Char">
    <w:name w:val="Heading 1 Char"/>
    <w:locked/>
    <w:rPr>
      <w:rFonts w:cs="Calibri"/>
      <w:b/>
      <w:bCs/>
      <w:color w:val="021F59"/>
      <w:kern w:val="28"/>
      <w:sz w:val="40"/>
      <w:szCs w:val="40"/>
      <w:lang w:val="en-GB" w:eastAsia="en-US"/>
    </w:rPr>
  </w:style>
  <w:style w:type="character" w:customStyle="1" w:styleId="Heading2Char">
    <w:name w:val="Heading 2 Char"/>
    <w:locked/>
    <w:rPr>
      <w:rFonts w:cs="Calibri"/>
      <w:b/>
      <w:bCs/>
      <w:color w:val="021F59"/>
      <w:sz w:val="32"/>
      <w:szCs w:val="32"/>
      <w:lang w:val="en-GB" w:eastAsia="en-US"/>
    </w:rPr>
  </w:style>
  <w:style w:type="character" w:customStyle="1" w:styleId="Heading3Char">
    <w:name w:val="Heading 3 Char"/>
    <w:locked/>
    <w:rPr>
      <w:rFonts w:ascii="Times New Roman" w:hAnsi="Times New Roman" w:cs="Times New Roman"/>
      <w:b/>
      <w:bCs/>
      <w:sz w:val="28"/>
      <w:szCs w:val="28"/>
      <w:lang w:val="en-GB"/>
    </w:rPr>
  </w:style>
  <w:style w:type="character" w:customStyle="1" w:styleId="Heading4Char">
    <w:name w:val="Heading 4 Char"/>
    <w:locked/>
    <w:rPr>
      <w:rFonts w:ascii="Times New Roman" w:hAnsi="Times New Roman" w:cs="Times New Roman"/>
      <w:b/>
      <w:bCs/>
      <w:sz w:val="20"/>
      <w:szCs w:val="20"/>
      <w:lang w:val="en-GB"/>
    </w:rPr>
  </w:style>
  <w:style w:type="character" w:customStyle="1" w:styleId="Heading5Char">
    <w:name w:val="Heading 5 Char"/>
    <w:semiHidden/>
    <w:locked/>
    <w:rPr>
      <w:rFonts w:ascii="Cambria" w:hAnsi="Cambria" w:cs="Cambria"/>
      <w:b/>
      <w:bCs/>
      <w:color w:val="7F7F7F"/>
    </w:rPr>
  </w:style>
  <w:style w:type="character" w:customStyle="1" w:styleId="Heading6Char">
    <w:name w:val="Heading 6 Char"/>
    <w:semiHidden/>
    <w:locked/>
    <w:rPr>
      <w:rFonts w:ascii="Cambria" w:hAnsi="Cambria" w:cs="Cambria"/>
      <w:b/>
      <w:bCs/>
      <w:i/>
      <w:iCs/>
      <w:color w:val="7F7F7F"/>
    </w:rPr>
  </w:style>
  <w:style w:type="character" w:customStyle="1" w:styleId="Heading7Char">
    <w:name w:val="Heading 7 Char"/>
    <w:semiHidden/>
    <w:locked/>
    <w:rPr>
      <w:rFonts w:ascii="Cambria" w:hAnsi="Cambria" w:cs="Cambria"/>
      <w:i/>
      <w:iCs/>
    </w:rPr>
  </w:style>
  <w:style w:type="character" w:customStyle="1" w:styleId="Heading8Char">
    <w:name w:val="Heading 8 Char"/>
    <w:semiHidden/>
    <w:locked/>
    <w:rPr>
      <w:rFonts w:ascii="Cambria" w:hAnsi="Cambria" w:cs="Cambria"/>
      <w:sz w:val="20"/>
      <w:szCs w:val="20"/>
    </w:rPr>
  </w:style>
  <w:style w:type="character" w:customStyle="1" w:styleId="Heading9Char">
    <w:name w:val="Heading 9 Char"/>
    <w:semiHidden/>
    <w:locked/>
    <w:rPr>
      <w:rFonts w:ascii="Cambria" w:hAnsi="Cambria" w:cs="Cambria"/>
      <w:i/>
      <w:iCs/>
      <w:spacing w:val="5"/>
      <w:sz w:val="20"/>
      <w:szCs w:val="20"/>
    </w:rPr>
  </w:style>
  <w:style w:type="paragraph" w:styleId="Title">
    <w:name w:val="Title"/>
    <w:basedOn w:val="Normal"/>
    <w:next w:val="Normal"/>
    <w:qFormat/>
    <w:pPr>
      <w:spacing w:before="240" w:after="60"/>
      <w:outlineLvl w:val="0"/>
    </w:pPr>
    <w:rPr>
      <w:b/>
      <w:bCs/>
      <w:color w:val="021F59"/>
      <w:kern w:val="28"/>
      <w:sz w:val="52"/>
      <w:szCs w:val="52"/>
    </w:rPr>
  </w:style>
  <w:style w:type="character" w:customStyle="1" w:styleId="TitleChar">
    <w:name w:val="Title Char"/>
    <w:locked/>
    <w:rPr>
      <w:rFonts w:cs="Calibri"/>
      <w:b/>
      <w:bCs/>
      <w:color w:val="021F59"/>
      <w:kern w:val="28"/>
      <w:sz w:val="52"/>
      <w:szCs w:val="52"/>
      <w:lang w:val="en-GB" w:eastAsia="en-US"/>
    </w:rPr>
  </w:style>
  <w:style w:type="paragraph" w:styleId="Subtitle">
    <w:name w:val="Subtitle"/>
    <w:basedOn w:val="Normal"/>
    <w:next w:val="Normal"/>
    <w:qFormat/>
    <w:pPr>
      <w:spacing w:after="600"/>
    </w:pPr>
    <w:rPr>
      <w:rFonts w:ascii="Cambria" w:hAnsi="Cambria" w:cs="Cambria"/>
      <w:i/>
      <w:iCs/>
      <w:spacing w:val="13"/>
    </w:rPr>
  </w:style>
  <w:style w:type="character" w:customStyle="1" w:styleId="SubtitleChar">
    <w:name w:val="Subtitle Char"/>
    <w:semiHidden/>
    <w:locked/>
    <w:rPr>
      <w:rFonts w:ascii="Cambria" w:hAnsi="Cambria" w:cs="Cambria"/>
      <w:i/>
      <w:iCs/>
      <w:spacing w:val="13"/>
      <w:sz w:val="24"/>
      <w:szCs w:val="24"/>
      <w:lang w:val="en-GB"/>
    </w:rPr>
  </w:style>
  <w:style w:type="character" w:styleId="Strong">
    <w:name w:val="Strong"/>
    <w:qFormat/>
    <w:rPr>
      <w:rFonts w:cs="Times New Roman"/>
      <w:b/>
      <w:bCs/>
    </w:rPr>
  </w:style>
  <w:style w:type="character" w:styleId="Emphasis">
    <w:name w:val="Emphasis"/>
    <w:qFormat/>
    <w:rPr>
      <w:rFonts w:cs="Times New Roman"/>
      <w:b/>
      <w:bCs/>
      <w:i/>
      <w:iCs/>
      <w:spacing w:val="10"/>
      <w:shd w:val="clear" w:color="auto" w:fill="auto"/>
    </w:rPr>
  </w:style>
  <w:style w:type="paragraph" w:styleId="NoSpacing">
    <w:name w:val="No Spacing"/>
    <w:basedOn w:val="Normal"/>
    <w:qFormat/>
  </w:style>
  <w:style w:type="paragraph" w:styleId="ListParagraph">
    <w:name w:val="List Paragraph"/>
    <w:basedOn w:val="Normal"/>
    <w:qFormat/>
    <w:pPr>
      <w:ind w:left="720"/>
    </w:pPr>
  </w:style>
  <w:style w:type="paragraph" w:styleId="Quote">
    <w:name w:val="Quote"/>
    <w:basedOn w:val="Normal"/>
    <w:next w:val="Normal"/>
    <w:qFormat/>
    <w:pPr>
      <w:spacing w:before="200"/>
      <w:ind w:left="360" w:right="360"/>
    </w:pPr>
    <w:rPr>
      <w:i/>
      <w:iCs/>
    </w:rPr>
  </w:style>
  <w:style w:type="character" w:customStyle="1" w:styleId="QuoteChar">
    <w:name w:val="Quote Char"/>
    <w:semiHidden/>
    <w:locked/>
    <w:rPr>
      <w:rFonts w:cs="Times New Roman"/>
      <w:i/>
      <w:iCs/>
      <w:sz w:val="20"/>
      <w:szCs w:val="20"/>
      <w:lang w:val="en-GB"/>
    </w:rPr>
  </w:style>
  <w:style w:type="paragraph" w:styleId="IntenseQuote">
    <w:name w:val="Intense Quote"/>
    <w:basedOn w:val="Normal"/>
    <w:next w:val="Normal"/>
    <w:qFormat/>
    <w:pPr>
      <w:pBdr>
        <w:bottom w:val="single" w:sz="4" w:space="1" w:color="auto"/>
      </w:pBdr>
      <w:spacing w:before="200" w:after="280"/>
      <w:ind w:left="1008" w:right="1152"/>
    </w:pPr>
    <w:rPr>
      <w:b/>
      <w:bCs/>
      <w:i/>
      <w:iCs/>
    </w:rPr>
  </w:style>
  <w:style w:type="character" w:customStyle="1" w:styleId="IntenseQuoteChar">
    <w:name w:val="Intense Quote Char"/>
    <w:semiHidden/>
    <w:locked/>
    <w:rPr>
      <w:rFonts w:cs="Times New Roman"/>
      <w:b/>
      <w:bCs/>
      <w:i/>
      <w:iCs/>
      <w:sz w:val="20"/>
      <w:szCs w:val="20"/>
      <w:lang w:val="en-GB"/>
    </w:rPr>
  </w:style>
  <w:style w:type="character" w:styleId="SubtleEmphasis">
    <w:name w:val="Subtle Emphasis"/>
    <w:qFormat/>
    <w:rPr>
      <w:rFonts w:cs="Times New Roman"/>
      <w:i/>
      <w:iCs/>
    </w:rPr>
  </w:style>
  <w:style w:type="character" w:styleId="IntenseEmphasis">
    <w:name w:val="Intense Emphasis"/>
    <w:qFormat/>
    <w:rPr>
      <w:rFonts w:cs="Times New Roman"/>
      <w:b/>
      <w:bCs/>
    </w:rPr>
  </w:style>
  <w:style w:type="character" w:styleId="SubtleReference">
    <w:name w:val="Subtle Reference"/>
    <w:qFormat/>
    <w:rPr>
      <w:rFonts w:cs="Times New Roman"/>
      <w:smallCaps/>
    </w:rPr>
  </w:style>
  <w:style w:type="character" w:styleId="IntenseReference">
    <w:name w:val="Intense Reference"/>
    <w:qFormat/>
    <w:rPr>
      <w:rFonts w:cs="Times New Roman"/>
      <w:smallCaps/>
      <w:spacing w:val="5"/>
      <w:u w:val="single"/>
    </w:rPr>
  </w:style>
  <w:style w:type="character" w:styleId="BookTitle">
    <w:name w:val="Book Title"/>
    <w:qFormat/>
    <w:rPr>
      <w:rFonts w:cs="Times New Roman"/>
      <w:i/>
      <w:iCs/>
      <w:smallCaps/>
      <w:spacing w:val="5"/>
    </w:rPr>
  </w:style>
  <w:style w:type="paragraph" w:styleId="TOCHeading">
    <w:name w:val="TOC Heading"/>
    <w:basedOn w:val="Heading1"/>
    <w:next w:val="Normal"/>
    <w:qFormat/>
    <w:pPr>
      <w:outlineLvl w:val="9"/>
    </w:pPr>
  </w:style>
  <w:style w:type="paragraph" w:styleId="Bibliography">
    <w:name w:val="Bibliography"/>
    <w:basedOn w:val="Normal"/>
    <w:semiHidden/>
    <w:pPr>
      <w:numPr>
        <w:numId w:val="1"/>
      </w:numPr>
    </w:pPr>
  </w:style>
  <w:style w:type="paragraph" w:styleId="BlockText">
    <w:name w:val="Block Text"/>
    <w:basedOn w:val="Normal"/>
    <w:semiHidden/>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semiHidden/>
    <w:pPr>
      <w:tabs>
        <w:tab w:val="left" w:pos="1489"/>
      </w:tabs>
      <w:ind w:left="720" w:right="720"/>
    </w:pPr>
    <w:rPr>
      <w:i/>
      <w:iCs/>
      <w:color w:val="000000"/>
      <w:sz w:val="20"/>
      <w:szCs w:val="20"/>
    </w:rPr>
  </w:style>
  <w:style w:type="character" w:customStyle="1" w:styleId="BodyTextIndentChar">
    <w:name w:val="Body Text Indent Char"/>
    <w:locked/>
    <w:rPr>
      <w:rFonts w:cs="Times New Roman"/>
      <w:i/>
      <w:iCs/>
      <w:snapToGrid w:val="0"/>
      <w:color w:val="000000"/>
      <w:sz w:val="20"/>
      <w:szCs w:val="20"/>
      <w:lang w:val="en-GB"/>
    </w:rPr>
  </w:style>
  <w:style w:type="paragraph" w:customStyle="1" w:styleId="FigureReference">
    <w:name w:val="Figure Reference"/>
    <w:basedOn w:val="Normal"/>
    <w:next w:val="Normal"/>
    <w:pPr>
      <w:keepNext/>
      <w:keepLines/>
      <w:numPr>
        <w:numId w:val="2"/>
      </w:numPr>
      <w:spacing w:after="240"/>
    </w:pPr>
    <w:rPr>
      <w:i/>
      <w:iCs/>
    </w:rPr>
  </w:style>
  <w:style w:type="paragraph" w:styleId="Footer">
    <w:name w:val="footer"/>
    <w:basedOn w:val="Normal"/>
    <w:semiHidden/>
    <w:pPr>
      <w:tabs>
        <w:tab w:val="center" w:pos="4153"/>
        <w:tab w:val="right" w:pos="8306"/>
      </w:tabs>
    </w:pPr>
  </w:style>
  <w:style w:type="character" w:customStyle="1" w:styleId="FooterChar">
    <w:name w:val="Footer Char"/>
    <w:locked/>
    <w:rPr>
      <w:rFonts w:cs="Times New Roman"/>
      <w:sz w:val="20"/>
      <w:szCs w:val="20"/>
      <w:lang w:val="en-GB"/>
    </w:rPr>
  </w:style>
  <w:style w:type="character" w:styleId="FootnoteReference">
    <w:name w:val="footnote reference"/>
    <w:semiHidden/>
    <w:rPr>
      <w:rFonts w:cs="Times New Roman"/>
      <w:vertAlign w:val="superscript"/>
    </w:rPr>
  </w:style>
  <w:style w:type="paragraph" w:styleId="FootnoteText">
    <w:name w:val="footnote text"/>
    <w:aliases w:val="Footnote Text Char Char Char"/>
    <w:basedOn w:val="Normal"/>
    <w:semiHidden/>
    <w:rPr>
      <w:sz w:val="18"/>
      <w:szCs w:val="18"/>
    </w:rPr>
  </w:style>
  <w:style w:type="character" w:customStyle="1" w:styleId="FootnoteTextChar">
    <w:name w:val="Footnote Text Char"/>
    <w:aliases w:val="Footnote Text Char Char Char Char"/>
    <w:locked/>
    <w:rPr>
      <w:rFonts w:cs="Times New Roman"/>
      <w:sz w:val="18"/>
      <w:szCs w:val="18"/>
      <w:lang w:val="en-GB" w:eastAsia="en-US"/>
    </w:rPr>
  </w:style>
  <w:style w:type="paragraph" w:styleId="Header">
    <w:name w:val="header"/>
    <w:basedOn w:val="Normal"/>
    <w:semiHidden/>
    <w:pPr>
      <w:pBdr>
        <w:bottom w:val="single" w:sz="4" w:space="1" w:color="auto"/>
      </w:pBdr>
      <w:tabs>
        <w:tab w:val="center" w:pos="4153"/>
        <w:tab w:val="right" w:pos="8306"/>
      </w:tabs>
      <w:jc w:val="center"/>
    </w:pPr>
    <w:rPr>
      <w:sz w:val="20"/>
      <w:szCs w:val="20"/>
    </w:rPr>
  </w:style>
  <w:style w:type="character" w:customStyle="1" w:styleId="HeaderChar">
    <w:name w:val="Header Char"/>
    <w:locked/>
    <w:rPr>
      <w:rFonts w:cs="Times New Roman"/>
      <w:sz w:val="20"/>
      <w:szCs w:val="20"/>
      <w:lang w:val="en-GB"/>
    </w:rPr>
  </w:style>
  <w:style w:type="character" w:styleId="Hyperlink">
    <w:name w:val="Hyperlink"/>
    <w:semiHidden/>
    <w:rPr>
      <w:rFonts w:cs="Times New Roman"/>
      <w:color w:val="0000FF"/>
      <w:u w:val="single"/>
    </w:rPr>
  </w:style>
  <w:style w:type="character" w:styleId="PageNumber">
    <w:name w:val="page number"/>
    <w:semiHidden/>
    <w:rPr>
      <w:rFonts w:cs="Times New Roman"/>
    </w:rPr>
  </w:style>
  <w:style w:type="paragraph" w:customStyle="1" w:styleId="TableReference">
    <w:name w:val="Table Reference"/>
    <w:basedOn w:val="Normal"/>
    <w:next w:val="Normal"/>
    <w:pPr>
      <w:keepNext/>
      <w:keepLines/>
      <w:numPr>
        <w:numId w:val="3"/>
      </w:numPr>
      <w:spacing w:after="240"/>
    </w:pPr>
    <w:rPr>
      <w:i/>
      <w:iCs/>
      <w:lang w:val="en-US"/>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character" w:customStyle="1" w:styleId="CommentTextChar">
    <w:name w:val="Comment Text Char"/>
    <w:semiHidden/>
    <w:locked/>
    <w:rPr>
      <w:rFonts w:eastAsia="Times New Roman" w:cs="Times New Roman"/>
      <w:sz w:val="20"/>
      <w:szCs w:val="20"/>
      <w:lang w:val="en-GB"/>
    </w:rPr>
  </w:style>
  <w:style w:type="paragraph" w:styleId="CommentSubject">
    <w:name w:val="annotation subject"/>
    <w:basedOn w:val="CommentText"/>
    <w:next w:val="CommentText"/>
    <w:rPr>
      <w:b/>
      <w:bCs/>
    </w:rPr>
  </w:style>
  <w:style w:type="character" w:customStyle="1" w:styleId="CommentSubjectChar">
    <w:name w:val="Comment Subject Char"/>
    <w:semiHidden/>
    <w:locked/>
    <w:rPr>
      <w:rFonts w:eastAsia="Times New Roman" w:cs="Times New Roman"/>
      <w:b/>
      <w:bCs/>
      <w:sz w:val="20"/>
      <w:szCs w:val="20"/>
      <w:lang w:val="en-GB"/>
    </w:rPr>
  </w:style>
  <w:style w:type="character" w:customStyle="1" w:styleId="BalloonTextChar">
    <w:name w:val="Balloon Text Char"/>
    <w:semiHidden/>
    <w:locked/>
    <w:rPr>
      <w:rFonts w:ascii="Tahoma" w:hAnsi="Tahoma" w:cs="Tahoma"/>
      <w:sz w:val="16"/>
      <w:szCs w:val="16"/>
      <w:lang w:val="en-GB"/>
    </w:rPr>
  </w:style>
  <w:style w:type="paragraph" w:styleId="BodyText3">
    <w:name w:val="Body Text 3"/>
    <w:basedOn w:val="Normal"/>
    <w:semiHidden/>
    <w:pPr>
      <w:tabs>
        <w:tab w:val="left" w:pos="1139"/>
        <w:tab w:val="left" w:pos="2280"/>
        <w:tab w:val="left" w:pos="3420"/>
        <w:tab w:val="left" w:pos="4559"/>
        <w:tab w:val="left" w:pos="5700"/>
        <w:tab w:val="left" w:pos="6840"/>
        <w:tab w:val="left" w:pos="7979"/>
      </w:tabs>
    </w:pPr>
    <w:rPr>
      <w:rFonts w:ascii="Arial" w:eastAsia="msgothic" w:hAnsi="Arial" w:cs="Arial"/>
      <w:color w:val="000000"/>
      <w:sz w:val="20"/>
      <w:szCs w:val="12"/>
    </w:rPr>
  </w:style>
  <w:style w:type="paragraph" w:styleId="BodyText">
    <w:name w:val="Body Text"/>
    <w:basedOn w:val="Normal"/>
    <w:semiHidden/>
    <w:pPr>
      <w:spacing w:after="120"/>
    </w:pPr>
  </w:style>
  <w:style w:type="character" w:customStyle="1" w:styleId="BodyTextChar">
    <w:name w:val="Body Text Char"/>
    <w:semiHidden/>
    <w:locked/>
    <w:rPr>
      <w:rFonts w:eastAsia="Times New Roman" w:cs="Times New Roman"/>
      <w:lang w:val="en-GB"/>
    </w:rPr>
  </w:style>
  <w:style w:type="character" w:styleId="EndnoteReference">
    <w:name w:val="endnote reference"/>
    <w:semiHidden/>
    <w:rPr>
      <w:rFonts w:cs="Times New Roman"/>
      <w:sz w:val="20"/>
      <w:szCs w:val="20"/>
      <w:vertAlign w:val="superscript"/>
    </w:rPr>
  </w:style>
  <w:style w:type="character" w:styleId="FollowedHyperlink">
    <w:name w:val="FollowedHyperlink"/>
    <w:semiHidden/>
    <w:rPr>
      <w:rFonts w:cs="Times New Roman"/>
      <w:color w:val="800080"/>
      <w:u w:val="single"/>
    </w:rPr>
  </w:style>
  <w:style w:type="paragraph" w:styleId="NormalWeb">
    <w:name w:val="Normal (Web)"/>
    <w:basedOn w:val="Normal"/>
    <w:semiHidden/>
    <w:pPr>
      <w:spacing w:before="100" w:beforeAutospacing="1" w:after="100" w:afterAutospacing="1"/>
    </w:pPr>
    <w:rPr>
      <w:rFonts w:cs="Times New Roman"/>
      <w:sz w:val="24"/>
      <w:szCs w:val="24"/>
      <w:lang w:val="en-ZA" w:eastAsia="en-ZA"/>
    </w:rPr>
  </w:style>
  <w:style w:type="character" w:customStyle="1" w:styleId="apple-converted-space">
    <w:name w:val="apple-converted-space"/>
    <w:rPr>
      <w:rFonts w:cs="Times New Roman"/>
    </w:rPr>
  </w:style>
  <w:style w:type="paragraph" w:customStyle="1" w:styleId="Level2Text">
    <w:name w:val="Level 2 Text"/>
    <w:basedOn w:val="BodyText"/>
    <w:pPr>
      <w:spacing w:after="0"/>
      <w:ind w:left="1701"/>
    </w:pPr>
    <w:rPr>
      <w:rFonts w:ascii="Arial" w:hAnsi="Arial" w:cs="Arial"/>
      <w:sz w:val="24"/>
      <w:szCs w:val="24"/>
    </w:rPr>
  </w:style>
  <w:style w:type="character" w:customStyle="1" w:styleId="apple-style-span">
    <w:name w:val="apple-style-span"/>
    <w:rPr>
      <w:rFonts w:cs="Times New Roman"/>
    </w:rPr>
  </w:style>
  <w:style w:type="paragraph" w:styleId="DocumentMap">
    <w:name w:val="Document Map"/>
    <w:basedOn w:val="Normal"/>
    <w:semiHidden/>
    <w:rPr>
      <w:rFonts w:ascii="Tahoma" w:hAnsi="Tahoma" w:cs="Tahoma"/>
      <w:sz w:val="16"/>
      <w:szCs w:val="16"/>
    </w:rPr>
  </w:style>
  <w:style w:type="character" w:customStyle="1" w:styleId="DocumentMapChar">
    <w:name w:val="Document Map Char"/>
    <w:semiHidden/>
    <w:locked/>
    <w:rPr>
      <w:rFonts w:ascii="Tahoma" w:hAnsi="Tahoma" w:cs="Tahoma"/>
      <w:sz w:val="16"/>
      <w:szCs w:val="16"/>
      <w:lang w:val="en-GB"/>
    </w:rPr>
  </w:style>
  <w:style w:type="character" w:styleId="HTMLCite">
    <w:name w:val="HTML Cite"/>
    <w:semiHidden/>
    <w:rPr>
      <w:rFonts w:cs="Times New Roman"/>
      <w:color w:val="auto"/>
    </w:rPr>
  </w:style>
  <w:style w:type="character" w:customStyle="1" w:styleId="google-src-text1">
    <w:name w:val="google-src-text1"/>
    <w:rPr>
      <w:rFonts w:cs="Times New Roman"/>
      <w:vanish/>
    </w:rPr>
  </w:style>
  <w:style w:type="paragraph" w:styleId="TOC1">
    <w:name w:val="toc 1"/>
    <w:basedOn w:val="Normal"/>
    <w:next w:val="Normal"/>
    <w:autoRedefine/>
    <w:semiHidden/>
    <w:pPr>
      <w:spacing w:after="100"/>
    </w:pPr>
  </w:style>
  <w:style w:type="paragraph" w:styleId="TOC2">
    <w:name w:val="toc 2"/>
    <w:basedOn w:val="Normal"/>
    <w:next w:val="Normal"/>
    <w:autoRedefine/>
    <w:semiHidden/>
    <w:pPr>
      <w:spacing w:after="100"/>
      <w:ind w:left="220"/>
    </w:pPr>
  </w:style>
  <w:style w:type="paragraph" w:styleId="TOC3">
    <w:name w:val="toc 3"/>
    <w:basedOn w:val="Normal"/>
    <w:next w:val="Normal"/>
    <w:autoRedefine/>
    <w:semiHidden/>
    <w:pPr>
      <w:spacing w:after="100"/>
      <w:ind w:left="440"/>
    </w:pPr>
  </w:style>
  <w:style w:type="paragraph" w:styleId="Revision">
    <w:name w:val="Revision"/>
    <w:hidden/>
    <w:semiHidden/>
    <w:rPr>
      <w:rFonts w:cs="Calibri"/>
      <w:sz w:val="22"/>
      <w:szCs w:val="22"/>
      <w:lang w:val="en-GB" w:eastAsia="en-US"/>
    </w:rPr>
  </w:style>
  <w:style w:type="character" w:customStyle="1" w:styleId="Heading5Char1">
    <w:name w:val="Heading 5 Char1"/>
    <w:rPr>
      <w:rFonts w:ascii="Cambria" w:hAnsi="Cambria" w:cs="Cambria"/>
      <w:color w:val="auto"/>
      <w:sz w:val="24"/>
      <w:szCs w:val="24"/>
      <w:lang w:val="en-GB" w:eastAsia="en-US"/>
    </w:rPr>
  </w:style>
  <w:style w:type="paragraph" w:customStyle="1" w:styleId="Quote1">
    <w:name w:val="Quote 1"/>
    <w:basedOn w:val="Normal"/>
    <w:autoRedefine/>
    <w:pPr>
      <w:numPr>
        <w:numId w:val="4"/>
      </w:numPr>
      <w:ind w:right="680"/>
    </w:pPr>
    <w:rPr>
      <w:rFonts w:cs="Times New Roman"/>
      <w:sz w:val="24"/>
      <w:szCs w:val="24"/>
      <w:lang w:val="en-US"/>
    </w:rPr>
  </w:style>
  <w:style w:type="paragraph" w:customStyle="1" w:styleId="Default">
    <w:name w:val="Default"/>
    <w:pPr>
      <w:autoSpaceDE w:val="0"/>
      <w:autoSpaceDN w:val="0"/>
      <w:adjustRightInd w:val="0"/>
    </w:pPr>
    <w:rPr>
      <w:rFonts w:cs="Calibri"/>
      <w:color w:val="000000"/>
      <w:sz w:val="24"/>
      <w:szCs w:val="24"/>
      <w:lang w:eastAsia="en-US"/>
    </w:rPr>
  </w:style>
  <w:style w:type="paragraph" w:styleId="BodyText2">
    <w:name w:val="Body Text 2"/>
    <w:basedOn w:val="Normal"/>
    <w:semiHidden/>
    <w:locked/>
    <w:pPr>
      <w:spacing w:after="120" w:line="480" w:lineRule="auto"/>
    </w:pPr>
  </w:style>
  <w:style w:type="character" w:customStyle="1" w:styleId="BodyText2Char">
    <w:name w:val="Body Text 2 Char"/>
    <w:rPr>
      <w:rFonts w:cs="Calibri"/>
      <w:sz w:val="22"/>
      <w:szCs w:val="22"/>
      <w:lang w:val="en-GB" w:eastAsia="en-US"/>
    </w:rPr>
  </w:style>
  <w:style w:type="paragraph" w:customStyle="1" w:styleId="Pa4">
    <w:name w:val="Pa4"/>
    <w:basedOn w:val="Default"/>
    <w:next w:val="Default"/>
    <w:pPr>
      <w:spacing w:line="241" w:lineRule="atLeast"/>
    </w:pPr>
    <w:rPr>
      <w:rFonts w:ascii="Stone Sans ITC Std Medium" w:hAnsi="Stone Sans ITC Std Medium" w:cs="Times New Roman"/>
      <w:color w:val="auto"/>
      <w:lang w:eastAsia="en-ZA"/>
    </w:rPr>
  </w:style>
  <w:style w:type="character" w:customStyle="1" w:styleId="A4">
    <w:name w:val="A4"/>
    <w:rPr>
      <w:rFonts w:cs="Stone Sans ITC Std Medium"/>
      <w:i/>
      <w:iCs/>
      <w:color w:val="221E1F"/>
      <w:sz w:val="19"/>
      <w:szCs w:val="19"/>
    </w:rPr>
  </w:style>
  <w:style w:type="paragraph" w:styleId="PlainText">
    <w:name w:val="Plain Text"/>
    <w:basedOn w:val="Normal"/>
    <w:semiHidden/>
    <w:locked/>
    <w:rPr>
      <w:rFonts w:ascii="Courier New" w:hAnsi="Courier New" w:cs="Times New Roman"/>
      <w:sz w:val="20"/>
      <w:szCs w:val="20"/>
    </w:rPr>
  </w:style>
  <w:style w:type="character" w:customStyle="1" w:styleId="PlainTextChar">
    <w:name w:val="Plain Text Char"/>
    <w:rPr>
      <w:rFonts w:ascii="Courier New" w:hAnsi="Courier New"/>
      <w:lang w:val="en-GB" w:eastAsia="en-US"/>
    </w:rPr>
  </w:style>
  <w:style w:type="character" w:customStyle="1" w:styleId="ps4ft1">
    <w:name w:val="ps4 ft1"/>
  </w:style>
  <w:style w:type="character" w:customStyle="1" w:styleId="ps6ft3">
    <w:name w:val="ps6 ft3"/>
  </w:style>
  <w:style w:type="character" w:customStyle="1" w:styleId="ps17ft3">
    <w:name w:val="ps17 ft3"/>
  </w:style>
  <w:style w:type="character" w:customStyle="1" w:styleId="ps20ft3">
    <w:name w:val="ps20 ft3"/>
  </w:style>
  <w:style w:type="paragraph" w:customStyle="1" w:styleId="Bigheading">
    <w:name w:val="Big heading"/>
    <w:basedOn w:val="Header"/>
    <w:pPr>
      <w:pBdr>
        <w:bottom w:val="none" w:sz="0" w:space="0" w:color="auto"/>
      </w:pBdr>
      <w:tabs>
        <w:tab w:val="clear" w:pos="4153"/>
        <w:tab w:val="clear" w:pos="8306"/>
        <w:tab w:val="center" w:pos="4680"/>
        <w:tab w:val="right" w:pos="9360"/>
      </w:tabs>
      <w:jc w:val="left"/>
    </w:pPr>
    <w:rPr>
      <w:rFonts w:ascii="Arial Narrow" w:hAnsi="Arial Narrow" w:cs="Times New Roman"/>
      <w:sz w:val="60"/>
      <w:szCs w:val="24"/>
      <w:lang w:val="en-US"/>
    </w:rPr>
  </w:style>
  <w:style w:type="paragraph" w:customStyle="1" w:styleId="ActivityHeading">
    <w:name w:val="Activity Heading"/>
    <w:basedOn w:val="BodyText"/>
    <w:qFormat/>
    <w:pPr>
      <w:keepNext/>
      <w:keepLines/>
      <w:spacing w:before="180"/>
    </w:pPr>
    <w:rPr>
      <w:rFonts w:ascii="Myriad Pro" w:hAnsi="Myriad Pro" w:cs="Times New Roman"/>
      <w:b/>
      <w:iCs/>
      <w:sz w:val="28"/>
      <w:szCs w:val="24"/>
    </w:rPr>
  </w:style>
  <w:style w:type="paragraph" w:customStyle="1" w:styleId="Bodynoma">
    <w:name w:val="Body_noma"/>
    <w:autoRedefine/>
    <w:pPr>
      <w:spacing w:before="120"/>
      <w:jc w:val="center"/>
    </w:pPr>
    <w:rPr>
      <w:rFonts w:ascii="Arial" w:eastAsia="AGaramondPro-Regular" w:hAnsi="Arial"/>
      <w:b/>
      <w:bCs/>
      <w:lang w:eastAsia="en-US"/>
    </w:rPr>
  </w:style>
  <w:style w:type="paragraph" w:customStyle="1" w:styleId="Quotenoma">
    <w:name w:val="Quote_noma"/>
    <w:autoRedefine/>
    <w:pPr>
      <w:spacing w:before="200" w:after="200"/>
      <w:ind w:left="720"/>
    </w:pPr>
    <w:rPr>
      <w:rFonts w:ascii="Arial Narrow Italic" w:hAnsi="Arial Narrow Italic"/>
      <w:noProof/>
    </w:rPr>
  </w:style>
  <w:style w:type="paragraph" w:customStyle="1" w:styleId="Subhead1noma">
    <w:name w:val="Sub head 1_noma"/>
    <w:basedOn w:val="Normal"/>
    <w:pPr>
      <w:autoSpaceDE w:val="0"/>
      <w:autoSpaceDN w:val="0"/>
      <w:adjustRightInd w:val="0"/>
      <w:spacing w:after="200"/>
    </w:pPr>
    <w:rPr>
      <w:rFonts w:ascii="Arial Narrow" w:hAnsi="Arial Narrow" w:cs="Times New Roman"/>
      <w:b/>
      <w:sz w:val="32"/>
      <w:szCs w:val="24"/>
      <w:lang w:eastAsia="en-GB"/>
    </w:rPr>
  </w:style>
  <w:style w:type="paragraph" w:customStyle="1" w:styleId="Bulletsnoma">
    <w:name w:val="Bullets_noma"/>
    <w:pPr>
      <w:numPr>
        <w:numId w:val="6"/>
      </w:numPr>
      <w:spacing w:after="140"/>
    </w:pPr>
    <w:rPr>
      <w:rFonts w:ascii="Myriad Pro" w:hAnsi="Myriad Pro"/>
      <w:noProof/>
    </w:rPr>
  </w:style>
  <w:style w:type="paragraph" w:customStyle="1" w:styleId="BulletsNomahead">
    <w:name w:val="Bullets_Noma_head"/>
    <w:pPr>
      <w:spacing w:after="60"/>
    </w:pPr>
    <w:rPr>
      <w:rFonts w:ascii="Myriad Pro Bold" w:hAnsi="Myriad Pro Bold"/>
      <w:b/>
      <w:noProof/>
    </w:rPr>
  </w:style>
  <w:style w:type="paragraph" w:customStyle="1" w:styleId="BodyNomaArial">
    <w:name w:val="Body_Noma: Arial"/>
    <w:pPr>
      <w:spacing w:after="140"/>
    </w:pPr>
    <w:rPr>
      <w:rFonts w:ascii="Arial" w:hAnsi="Arial"/>
      <w:noProof/>
    </w:rPr>
  </w:style>
  <w:style w:type="paragraph" w:customStyle="1" w:styleId="NomasubsubheadArial">
    <w:name w:val="Noma_sub sub head Arial"/>
    <w:autoRedefine/>
    <w:pPr>
      <w:spacing w:before="40" w:after="40"/>
    </w:pPr>
    <w:rPr>
      <w:rFonts w:ascii="Arial Bold" w:hAnsi="Arial Bold"/>
      <w:b/>
      <w:noProof/>
      <w:sz w:val="26"/>
    </w:rPr>
  </w:style>
  <w:style w:type="paragraph" w:customStyle="1" w:styleId="BodytableNomaArial">
    <w:name w:val="Body_table_Noma: Arial"/>
    <w:basedOn w:val="BodyNomaArial"/>
    <w:autoRedefine/>
    <w:pPr>
      <w:spacing w:after="80"/>
    </w:pPr>
  </w:style>
  <w:style w:type="paragraph" w:customStyle="1" w:styleId="BodyNomaBulletsArial">
    <w:name w:val="Body_Noma_Bullets: Arial"/>
    <w:autoRedefine/>
    <w:pPr>
      <w:numPr>
        <w:numId w:val="5"/>
      </w:numPr>
      <w:spacing w:before="120" w:after="120"/>
    </w:pPr>
    <w:rPr>
      <w:rFonts w:ascii="Arial" w:hAnsi="Arial"/>
      <w:noProof/>
    </w:rPr>
  </w:style>
  <w:style w:type="paragraph" w:customStyle="1" w:styleId="SussubheadNomaArial">
    <w:name w:val="Sus sub head_Noma: Arial"/>
    <w:autoRedefine/>
    <w:pPr>
      <w:autoSpaceDE w:val="0"/>
      <w:autoSpaceDN w:val="0"/>
      <w:adjustRightInd w:val="0"/>
      <w:spacing w:before="80" w:after="80"/>
    </w:pPr>
    <w:rPr>
      <w:rFonts w:ascii="Arial" w:hAnsi="Arial"/>
      <w:b/>
      <w:noProof/>
      <w:color w:val="16AB1A"/>
      <w:sz w:val="26"/>
    </w:rPr>
  </w:style>
  <w:style w:type="paragraph" w:customStyle="1" w:styleId="numbers">
    <w:name w:val="numbers"/>
    <w:basedOn w:val="PlainText"/>
    <w:pPr>
      <w:numPr>
        <w:numId w:val="12"/>
      </w:numPr>
    </w:pPr>
    <w:rPr>
      <w:rFonts w:ascii="Times New Roman" w:hAnsi="Times New Roman"/>
      <w:sz w:val="24"/>
    </w:rPr>
  </w:style>
  <w:style w:type="paragraph" w:styleId="Caption">
    <w:name w:val="caption"/>
    <w:basedOn w:val="Normal"/>
    <w:next w:val="Normal"/>
    <w:qFormat/>
    <w:pPr>
      <w:spacing w:before="120"/>
      <w:ind w:left="855"/>
    </w:pPr>
    <w:rPr>
      <w:b/>
      <w:bCs/>
      <w:sz w:val="20"/>
    </w:rPr>
  </w:style>
  <w:style w:type="character" w:customStyle="1" w:styleId="il">
    <w:name w:val="il"/>
    <w:basedOn w:val="DefaultParagraphFont"/>
  </w:style>
  <w:style w:type="paragraph" w:customStyle="1" w:styleId="Style2">
    <w:name w:val="Style2"/>
    <w:basedOn w:val="Normal"/>
    <w:pPr>
      <w:tabs>
        <w:tab w:val="left" w:pos="-1440"/>
        <w:tab w:val="left" w:pos="-720"/>
        <w:tab w:val="left" w:pos="0"/>
        <w:tab w:val="left" w:pos="720"/>
        <w:tab w:val="left" w:pos="1440"/>
        <w:tab w:val="left" w:pos="2160"/>
        <w:tab w:val="left" w:pos="2880"/>
        <w:tab w:val="left" w:pos="3600"/>
        <w:tab w:val="left" w:pos="4320"/>
        <w:tab w:val="left" w:pos="4752"/>
        <w:tab w:val="left" w:pos="5760"/>
        <w:tab w:val="left" w:pos="6480"/>
        <w:tab w:val="left" w:pos="7200"/>
        <w:tab w:val="left" w:pos="7920"/>
        <w:tab w:val="left" w:pos="8640"/>
      </w:tabs>
      <w:spacing w:after="120"/>
    </w:pPr>
    <w:rPr>
      <w:rFonts w:ascii="Times New Roman" w:hAnsi="Times New Roman"/>
      <w:szCs w:val="20"/>
    </w:rPr>
  </w:style>
  <w:style w:type="character" w:customStyle="1" w:styleId="pagesubhead">
    <w:name w:val="pagesubhead"/>
    <w:basedOn w:val="DefaultParagraphFont"/>
  </w:style>
  <w:style w:type="paragraph" w:styleId="BodyTextIndent2">
    <w:name w:val="Body Text Indent 2"/>
    <w:basedOn w:val="Normal"/>
    <w:semiHidden/>
    <w:pPr>
      <w:ind w:left="720"/>
    </w:pPr>
    <w:rPr>
      <w:i/>
    </w:rPr>
  </w:style>
  <w:style w:type="paragraph" w:customStyle="1" w:styleId="bulletpoint">
    <w:name w:val="bullet point"/>
    <w:basedOn w:val="Normal"/>
    <w:pPr>
      <w:numPr>
        <w:numId w:val="33"/>
      </w:numPr>
    </w:pPr>
    <w:rPr>
      <w:rFonts w:ascii="Times New Roman" w:hAnsi="Times New Roman"/>
      <w:noProof/>
      <w:sz w:val="24"/>
      <w:szCs w:val="24"/>
      <w:lang w:val="en-ZA" w:eastAsia="en-GB"/>
    </w:rPr>
  </w:style>
  <w:style w:type="paragraph" w:customStyle="1" w:styleId="text-large">
    <w:name w:val="text-large"/>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text-normal">
    <w:name w:val="text-normal"/>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link">
    <w:name w:val="link"/>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cef.org/health/index_43834.html"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hyperlink" Target="http://www.hst.org.za/publications/396" TargetMode="External"/><Relationship Id="rId21" Type="http://schemas.openxmlformats.org/officeDocument/2006/relationships/hyperlink" Target="http://www.healthwrights.org/hw/books/208-ques-solu" TargetMode="External"/><Relationship Id="rId34" Type="http://schemas.openxmlformats.org/officeDocument/2006/relationships/oleObject" Target="embeddings/oleObject3.bin"/><Relationship Id="rId42" Type="http://schemas.openxmlformats.org/officeDocument/2006/relationships/hyperlink" Target="http://www.path.org/publications/files/VAC_dd_approach_fs.pdf" TargetMode="External"/><Relationship Id="rId47" Type="http://schemas.openxmlformats.org/officeDocument/2006/relationships/hyperlink" Target="http://www.unicef.org/health/index_43834.html" TargetMode="External"/><Relationship Id="rId50" Type="http://schemas.openxmlformats.org/officeDocument/2006/relationships/hyperlink" Target="http://www.healthwrights.org/hw/books/208-ques-solu" TargetMode="External"/><Relationship Id="rId55" Type="http://schemas.openxmlformats.org/officeDocument/2006/relationships/hyperlink" Target="http://www.who.int/mediacentre/news/releases/2008/pr29/en/index.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unicef.org/health/index_bigpicture.html" TargetMode="External"/><Relationship Id="rId20" Type="http://schemas.openxmlformats.org/officeDocument/2006/relationships/hyperlink" Target="http://www.talcuk.org/books/where-there-is-no-doctor-african-edition.htm" TargetMode="External"/><Relationship Id="rId29" Type="http://schemas.openxmlformats.org/officeDocument/2006/relationships/image" Target="media/image8.png"/><Relationship Id="rId41" Type="http://schemas.openxmlformats.org/officeDocument/2006/relationships/hyperlink" Target="http://www.odi.org.uk/resources/details.asp?id=48&amp;title=sanitation-hygiene-knocking-doors" TargetMode="External"/><Relationship Id="rId54" Type="http://schemas.openxmlformats.org/officeDocument/2006/relationships/hyperlink" Target="http://www.who.int/social_determinants/en/"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www.ceecis.org/iodine/01_global/01_pl/01_01_other_1992_unicef.pdf" TargetMode="External"/><Relationship Id="rId37" Type="http://schemas.openxmlformats.org/officeDocument/2006/relationships/hyperlink" Target="http://www.who.int/bulletin/volumes/86/1/07-049619/en/" TargetMode="External"/><Relationship Id="rId40" Type="http://schemas.openxmlformats.org/officeDocument/2006/relationships/hyperlink" Target="http://www.uphs.upenn.edu/bugdrug/antibiotic_manual/idsadiarrhea.pdf" TargetMode="External"/><Relationship Id="rId45" Type="http://schemas.openxmlformats.org/officeDocument/2006/relationships/hyperlink" Target="http://www.lboro.ac.uk/well/resources/fact-sheets/fact-sheets-htm/Household%20Sanitation.htm" TargetMode="External"/><Relationship Id="rId53" Type="http://schemas.openxmlformats.org/officeDocument/2006/relationships/hyperlink" Target="http://www.who.int/child-adolescent-health/publications/referral_care/homepage.html%20"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n.org/millenniumgoals/pdf/MDG_FS_4_EN.pdf" TargetMode="External"/><Relationship Id="rId23" Type="http://schemas.openxmlformats.org/officeDocument/2006/relationships/hyperlink" Target="http://www.unicef.org/wash/files/com_e.pdf" TargetMode="External"/><Relationship Id="rId28" Type="http://schemas.openxmlformats.org/officeDocument/2006/relationships/oleObject" Target="embeddings/oleObject1.bin"/><Relationship Id="rId36" Type="http://schemas.openxmlformats.org/officeDocument/2006/relationships/hyperlink" Target="mailto:soph-comm@uwc.ac.za" TargetMode="External"/><Relationship Id="rId49" Type="http://schemas.openxmlformats.org/officeDocument/2006/relationships/hyperlink" Target="http://www.un.org/millenniumgoals/pdf/MDG_FS_4_EN.pdf" TargetMode="External"/><Relationship Id="rId57" Type="http://schemas.openxmlformats.org/officeDocument/2006/relationships/image" Target="media/image11.emf"/><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eblife.org/pdf/" TargetMode="External"/><Relationship Id="rId31" Type="http://schemas.openxmlformats.org/officeDocument/2006/relationships/hyperlink" Target="http://www.who.int/bulletin/volumes/86/1/07-049619/en/" TargetMode="External"/><Relationship Id="rId44" Type="http://schemas.openxmlformats.org/officeDocument/2006/relationships/hyperlink" Target="http://www.capegateway.gov.za/Text/2007/6/cd_volume_7_childhood_diseases_overview.pdf" TargetMode="External"/><Relationship Id="rId52" Type="http://schemas.openxmlformats.org/officeDocument/2006/relationships/hyperlink" Target="http://www.talcuk.org/books/where-there-is-no-doctor-african-edition.htm" TargetMode="External"/><Relationship Id="rId60"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n.org/millenniumgoals/pdf/MDG%20Report%202010%20En%20r15%20-low%20res%2020100615%20-.pdf" TargetMode="External"/><Relationship Id="rId22" Type="http://schemas.openxmlformats.org/officeDocument/2006/relationships/hyperlink" Target="http://www.talcuk.org/books/where-there-is-no-doctor-african-edition.htm" TargetMode="External"/><Relationship Id="rId27"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hyperlink" Target="mailto:soph-comm@uwc.ac.za" TargetMode="External"/><Relationship Id="rId43" Type="http://schemas.openxmlformats.org/officeDocument/2006/relationships/hyperlink" Target="http://www.tulane.edu/%7Einternut/publications/WB_Bckgrd_Pprs/Narrative/NarrativeonePelletierfinal.doc" TargetMode="External"/><Relationship Id="rId48" Type="http://schemas.openxmlformats.org/officeDocument/2006/relationships/hyperlink" Target="http://www.unicef.org/wash/files/com_e.pdf" TargetMode="External"/><Relationship Id="rId56" Type="http://schemas.openxmlformats.org/officeDocument/2006/relationships/image" Target="media/image10.emf"/><Relationship Id="rId8" Type="http://schemas.openxmlformats.org/officeDocument/2006/relationships/header" Target="header1.xml"/><Relationship Id="rId51" Type="http://schemas.openxmlformats.org/officeDocument/2006/relationships/hyperlink" Target="http://weblife.org/pdf/" TargetMode="External"/><Relationship Id="rId3" Type="http://schemas.microsoft.com/office/2007/relationships/stylesWithEffects" Target="stylesWithEffects.xml"/><Relationship Id="rId12" Type="http://schemas.openxmlformats.org/officeDocument/2006/relationships/hyperlink" Target="http://creativecommons.org/licenses/by-sa/3.0/" TargetMode="External"/><Relationship Id="rId17" Type="http://schemas.openxmlformats.org/officeDocument/2006/relationships/hyperlink" Target="http://www.unicef.org/health/index_43834.html" TargetMode="External"/><Relationship Id="rId25" Type="http://schemas.openxmlformats.org/officeDocument/2006/relationships/hyperlink" Target="http://www.ceecis.org/iodine/01_global/01_pl/01_01_other_1992_unicef.pdf" TargetMode="External"/><Relationship Id="rId33" Type="http://schemas.openxmlformats.org/officeDocument/2006/relationships/image" Target="media/image9.wmf"/><Relationship Id="rId38" Type="http://schemas.openxmlformats.org/officeDocument/2006/relationships/hyperlink" Target="http://www.dcp2.org/pubs/DCP" TargetMode="External"/><Relationship Id="rId46" Type="http://schemas.openxmlformats.org/officeDocument/2006/relationships/hyperlink" Target="http://www.ceecis.org/iodine/01_global/01_pl/01_01_other_1992_unicef.pdf"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24</Pages>
  <Words>7286</Words>
  <Characters>41533</Characters>
  <Application>Microsoft Office Word</Application>
  <DocSecurity>0</DocSecurity>
  <Lines>346</Lines>
  <Paragraphs>97</Paragraphs>
  <ScaleCrop>false</ScaleCrop>
  <Company/>
  <LinksUpToDate>false</LinksUpToDate>
  <CharactersWithSpaces>48722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Basic Guide to Open Educational Resources (OER)</dc:title>
  <dc:creator>Neil</dc:creator>
  <cp:lastModifiedBy>Monge Tlaka</cp:lastModifiedBy>
  <cp:revision>5</cp:revision>
  <cp:lastPrinted>2011-08-26T15:03:00Z</cp:lastPrinted>
  <dcterms:created xsi:type="dcterms:W3CDTF">2012-08-07T10:29:00Z</dcterms:created>
  <dcterms:modified xsi:type="dcterms:W3CDTF">2012-08-15T06:59:00Z</dcterms:modified>
</cp:coreProperties>
</file>