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EE2" w:rsidRDefault="00410A90" w:rsidP="00A72EE2">
      <w:pPr>
        <w:pStyle w:val="Heading1"/>
        <w:spacing w:before="240"/>
        <w:jc w:val="center"/>
      </w:pPr>
      <w:bookmarkStart w:id="0" w:name="_GoBack"/>
      <w:bookmarkEnd w:id="0"/>
      <w:r>
        <w:t xml:space="preserve">New approaches to openness – </w:t>
      </w:r>
    </w:p>
    <w:p w:rsidR="00410A90" w:rsidRDefault="00410A90" w:rsidP="00A72EE2">
      <w:pPr>
        <w:pStyle w:val="Heading1"/>
        <w:spacing w:before="240"/>
        <w:jc w:val="center"/>
      </w:pPr>
      <w:proofErr w:type="gramStart"/>
      <w:r>
        <w:t>beyond</w:t>
      </w:r>
      <w:proofErr w:type="gramEnd"/>
      <w:r>
        <w:t xml:space="preserve"> Open Educational Resources</w:t>
      </w:r>
    </w:p>
    <w:p w:rsidR="00410A90" w:rsidRDefault="00410A90"/>
    <w:p w:rsidR="00410A90" w:rsidRDefault="00410A90" w:rsidP="00410A90">
      <w:pPr>
        <w:jc w:val="center"/>
        <w:rPr>
          <w:b/>
        </w:rPr>
      </w:pPr>
      <w:proofErr w:type="spellStart"/>
      <w:r w:rsidRPr="00410A90">
        <w:rPr>
          <w:b/>
        </w:rPr>
        <w:t>Gráinne</w:t>
      </w:r>
      <w:proofErr w:type="spellEnd"/>
      <w:r w:rsidRPr="00410A90">
        <w:rPr>
          <w:b/>
        </w:rPr>
        <w:t xml:space="preserve"> </w:t>
      </w:r>
      <w:proofErr w:type="spellStart"/>
      <w:r w:rsidRPr="00410A90">
        <w:rPr>
          <w:b/>
        </w:rPr>
        <w:t>Conole</w:t>
      </w:r>
      <w:proofErr w:type="spellEnd"/>
      <w:r w:rsidRPr="00410A90">
        <w:rPr>
          <w:b/>
        </w:rPr>
        <w:t xml:space="preserve">, University of Leicester, </w:t>
      </w:r>
      <w:hyperlink r:id="rId8" w:history="1">
        <w:r w:rsidRPr="00814E73">
          <w:rPr>
            <w:rStyle w:val="Hyperlink"/>
            <w:b/>
          </w:rPr>
          <w:t>grainne.conole@le.ac.uk</w:t>
        </w:r>
      </w:hyperlink>
    </w:p>
    <w:p w:rsidR="00410A90" w:rsidRDefault="00410A90" w:rsidP="00410A90">
      <w:pPr>
        <w:jc w:val="center"/>
        <w:rPr>
          <w:b/>
        </w:rPr>
      </w:pPr>
    </w:p>
    <w:p w:rsidR="00410A90" w:rsidRDefault="00410A90" w:rsidP="00410A90">
      <w:pPr>
        <w:pStyle w:val="Heading1"/>
      </w:pPr>
      <w:r>
        <w:t>Introduction</w:t>
      </w:r>
    </w:p>
    <w:p w:rsidR="0000291D" w:rsidRDefault="00A72EE2" w:rsidP="00A72EE2">
      <w:r>
        <w:t>This chapter begins by discussing the characteristics of social and participatory media and considers their implications for learning, teaching and research. The notion of openness is then considered and different facets of open practices across learning, teaching and research are considered.</w:t>
      </w:r>
    </w:p>
    <w:p w:rsidR="0000291D" w:rsidRDefault="0000291D" w:rsidP="0000291D">
      <w:pPr>
        <w:pStyle w:val="Heading1"/>
      </w:pPr>
      <w:r>
        <w:t xml:space="preserve">From Gutenberg to </w:t>
      </w:r>
      <w:proofErr w:type="spellStart"/>
      <w:r>
        <w:t>Zuckerberg</w:t>
      </w:r>
      <w:proofErr w:type="spellEnd"/>
    </w:p>
    <w:p w:rsidR="0000291D" w:rsidRPr="0000291D" w:rsidRDefault="0000291D" w:rsidP="0000291D">
      <w:pPr>
        <w:rPr>
          <w:lang w:val="en-US"/>
        </w:rPr>
      </w:pPr>
      <w:proofErr w:type="spellStart"/>
      <w:r>
        <w:rPr>
          <w:lang w:val="en-US"/>
        </w:rPr>
        <w:t>Naughton</w:t>
      </w:r>
      <w:proofErr w:type="spellEnd"/>
      <w:r>
        <w:rPr>
          <w:lang w:val="en-US"/>
        </w:rPr>
        <w:t xml:space="preserve"> considers the nature of and implications of the Internet </w:t>
      </w:r>
      <w:r>
        <w:rPr>
          <w:lang w:val="en-US"/>
        </w:rPr>
        <w:fldChar w:fldCharType="begin"/>
      </w:r>
      <w:r>
        <w:rPr>
          <w:lang w:val="en-US"/>
        </w:rPr>
        <w:instrText xml:space="preserve"> ADDIN EN.CITE &lt;EndNote&gt;&lt;Cite&gt;&lt;Author&gt;Naughton&lt;/Author&gt;&lt;Year&gt;2012&lt;/Year&gt;&lt;RecNum&gt;607&lt;/RecNum&gt;&lt;DisplayText&gt;(Naughton 2012)&lt;/DisplayText&gt;&lt;record&gt;&lt;rec-number&gt;607&lt;/rec-number&gt;&lt;foreign-keys&gt;&lt;key app="EN" db-id="2errrtwrme9dt5e5fpyv5pta2fzsx5vrd0zz"&gt;607&lt;/key&gt;&lt;/foreign-keys&gt;&lt;ref-type name="Book"&gt;6&lt;/ref-type&gt;&lt;contributors&gt;&lt;authors&gt;&lt;author&gt;Naughton, J.&lt;/author&gt;&lt;/authors&gt;&lt;/contributors&gt;&lt;titles&gt;&lt;title&gt;From Gutenberg to Zuckerberg, what you really need to know  about the internet&lt;/title&gt;&lt;/titles&gt;&lt;dates&gt;&lt;year&gt;2012&lt;/year&gt;&lt;/dates&gt;&lt;urls&gt;&lt;/urls&gt;&lt;/record&gt;&lt;/Cite&gt;&lt;/EndNote&gt;</w:instrText>
      </w:r>
      <w:r>
        <w:rPr>
          <w:lang w:val="en-US"/>
        </w:rPr>
        <w:fldChar w:fldCharType="separate"/>
      </w:r>
      <w:r>
        <w:rPr>
          <w:noProof/>
          <w:lang w:val="en-US"/>
        </w:rPr>
        <w:t>(</w:t>
      </w:r>
      <w:hyperlink w:anchor="_ENREF_28" w:tooltip="Naughton, 2012 #607" w:history="1">
        <w:r w:rsidR="009C7F84">
          <w:rPr>
            <w:noProof/>
            <w:lang w:val="en-US"/>
          </w:rPr>
          <w:t>Naughton 2012</w:t>
        </w:r>
      </w:hyperlink>
      <w:r>
        <w:rPr>
          <w:noProof/>
          <w:lang w:val="en-US"/>
        </w:rPr>
        <w:t>)</w:t>
      </w:r>
      <w:r>
        <w:rPr>
          <w:lang w:val="en-US"/>
        </w:rPr>
        <w:fldChar w:fldCharType="end"/>
      </w:r>
      <w:r>
        <w:rPr>
          <w:lang w:val="en-US"/>
        </w:rPr>
        <w:t>. He argues that w</w:t>
      </w:r>
      <w:r w:rsidRPr="0000291D">
        <w:rPr>
          <w:lang w:val="en-US"/>
        </w:rPr>
        <w:t xml:space="preserve">e have seen a shift in terms of the Internet, a transition from the </w:t>
      </w:r>
      <w:r>
        <w:rPr>
          <w:lang w:val="en-US"/>
        </w:rPr>
        <w:t>exotic (weird) to the mundane and that t</w:t>
      </w:r>
      <w:r w:rsidRPr="0000291D">
        <w:rPr>
          <w:lang w:val="en-US"/>
        </w:rPr>
        <w:t>he Internet is now taken for granted and infiltrates all aspects of our lives.</w:t>
      </w:r>
      <w:r>
        <w:rPr>
          <w:lang w:val="en-US"/>
        </w:rPr>
        <w:t xml:space="preserve"> </w:t>
      </w:r>
      <w:r w:rsidRPr="0000291D">
        <w:rPr>
          <w:lang w:val="en-US"/>
        </w:rPr>
        <w:t xml:space="preserve">The result is that we are </w:t>
      </w:r>
      <w:proofErr w:type="spellStart"/>
      <w:r w:rsidRPr="0000291D">
        <w:rPr>
          <w:lang w:val="en-US"/>
        </w:rPr>
        <w:t>dependant</w:t>
      </w:r>
      <w:proofErr w:type="spellEnd"/>
      <w:r w:rsidRPr="0000291D">
        <w:rPr>
          <w:lang w:val="en-US"/>
        </w:rPr>
        <w:t xml:space="preserve"> on a network that (almost) no one understands. </w:t>
      </w:r>
      <w:r>
        <w:rPr>
          <w:lang w:val="en-US"/>
        </w:rPr>
        <w:t>He</w:t>
      </w:r>
      <w:r w:rsidRPr="0000291D">
        <w:t xml:space="preserve"> referenced George Miller's paper from the fifties on the notion of 7 plus or minus 2, i</w:t>
      </w:r>
      <w:r>
        <w:t>.</w:t>
      </w:r>
      <w:r w:rsidRPr="0000291D">
        <w:t>e</w:t>
      </w:r>
      <w:r>
        <w:t>.</w:t>
      </w:r>
      <w:r w:rsidRPr="0000291D">
        <w:t xml:space="preserve"> cognitively in short terms memory we can only hold this many chunks of information at any one idea. John took this idea and based his thoughts on the Internet</w:t>
      </w:r>
      <w:r>
        <w:t xml:space="preserve"> </w:t>
      </w:r>
      <w:r w:rsidRPr="0000291D">
        <w:t>and its implications around a small number of big ideas.</w:t>
      </w:r>
      <w:r>
        <w:t xml:space="preserve"> These are summarised below.</w:t>
      </w:r>
    </w:p>
    <w:p w:rsidR="0000291D" w:rsidRDefault="0000291D" w:rsidP="0000291D">
      <w:pPr>
        <w:rPr>
          <w:lang w:val="en-US"/>
        </w:rPr>
      </w:pPr>
    </w:p>
    <w:p w:rsidR="0000291D" w:rsidRPr="0000291D" w:rsidRDefault="0000291D" w:rsidP="0000291D">
      <w:pPr>
        <w:pStyle w:val="Heading2"/>
      </w:pPr>
      <w:r w:rsidRPr="0000291D">
        <w:rPr>
          <w:lang w:val="en-US"/>
        </w:rPr>
        <w:t>Take the long view</w:t>
      </w:r>
    </w:p>
    <w:p w:rsidR="0000291D" w:rsidRPr="0000291D" w:rsidRDefault="0000291D" w:rsidP="0000291D">
      <w:r w:rsidRPr="0000291D">
        <w:rPr>
          <w:lang w:val="en-US"/>
        </w:rPr>
        <w:t xml:space="preserve">We have seen a transformation of communication as a result of the use of the Internet. We tend to focus too much on the short terms trends, impact of </w:t>
      </w:r>
      <w:proofErr w:type="spellStart"/>
      <w:r w:rsidRPr="0000291D">
        <w:rPr>
          <w:lang w:val="en-US"/>
        </w:rPr>
        <w:t>fb</w:t>
      </w:r>
      <w:proofErr w:type="spellEnd"/>
      <w:r w:rsidRPr="0000291D">
        <w:rPr>
          <w:lang w:val="en-US"/>
        </w:rPr>
        <w:t xml:space="preserve">, e-books </w:t>
      </w:r>
      <w:proofErr w:type="spellStart"/>
      <w:r w:rsidRPr="0000291D">
        <w:rPr>
          <w:lang w:val="en-US"/>
        </w:rPr>
        <w:t>etcc</w:t>
      </w:r>
      <w:proofErr w:type="spellEnd"/>
      <w:r w:rsidRPr="0000291D">
        <w:rPr>
          <w:lang w:val="en-US"/>
        </w:rPr>
        <w:t xml:space="preserve">. Whereas we need to take a longer view and </w:t>
      </w:r>
      <w:proofErr w:type="spellStart"/>
      <w:r w:rsidRPr="0000291D">
        <w:rPr>
          <w:lang w:val="en-US"/>
        </w:rPr>
        <w:t>realise</w:t>
      </w:r>
      <w:proofErr w:type="spellEnd"/>
      <w:r w:rsidRPr="0000291D">
        <w:rPr>
          <w:lang w:val="en-US"/>
        </w:rPr>
        <w:t xml:space="preserve"> that the impact of emergent technologies is likely to be more transformative and disruptive that we can imagine. Think back to before the Internet – could anyone have predicted la emergent and la forma en </w:t>
      </w:r>
      <w:proofErr w:type="spellStart"/>
      <w:r w:rsidRPr="0000291D">
        <w:rPr>
          <w:lang w:val="en-US"/>
        </w:rPr>
        <w:t>que</w:t>
      </w:r>
      <w:proofErr w:type="spellEnd"/>
      <w:r w:rsidRPr="0000291D">
        <w:rPr>
          <w:lang w:val="en-US"/>
        </w:rPr>
        <w:t xml:space="preserve"> would infiltrate all aspects of our lives? In 1455 Gutenberg created a communication revolution with the development of the printing </w:t>
      </w:r>
      <w:proofErr w:type="gramStart"/>
      <w:r w:rsidRPr="0000291D">
        <w:rPr>
          <w:lang w:val="en-US"/>
        </w:rPr>
        <w:t>press,</w:t>
      </w:r>
      <w:proofErr w:type="gramEnd"/>
      <w:r w:rsidRPr="0000291D">
        <w:rPr>
          <w:lang w:val="en-US"/>
        </w:rPr>
        <w:t> we are now, with the Internet, in the middle of another communication revolution. However, because we are in the middle of this revolution, we can't conceive or imagine how radical it is and the extent to which it will transform our practice.</w:t>
      </w:r>
    </w:p>
    <w:p w:rsidR="0000291D" w:rsidRDefault="0000291D" w:rsidP="0000291D">
      <w:pPr>
        <w:rPr>
          <w:lang w:val="en-US"/>
        </w:rPr>
      </w:pPr>
    </w:p>
    <w:p w:rsidR="0000291D" w:rsidRPr="0000291D" w:rsidRDefault="0000291D" w:rsidP="0000291D">
      <w:pPr>
        <w:pStyle w:val="Heading2"/>
      </w:pPr>
      <w:r w:rsidRPr="0000291D">
        <w:rPr>
          <w:lang w:val="en-US"/>
        </w:rPr>
        <w:t>The Web is not the Net</w:t>
      </w:r>
    </w:p>
    <w:p w:rsidR="0000291D" w:rsidRPr="0000291D" w:rsidRDefault="0000291D" w:rsidP="0000291D">
      <w:r w:rsidRPr="0000291D">
        <w:rPr>
          <w:lang w:val="en-US"/>
        </w:rPr>
        <w:t xml:space="preserve">There is a common misconception that the Web and the Internet are synonymous, they are not. The Internet is the underlying infrastructure, the Web just one application. John drew on a railway metaphor, </w:t>
      </w:r>
      <w:proofErr w:type="spellStart"/>
      <w:r w:rsidRPr="0000291D">
        <w:rPr>
          <w:lang w:val="en-US"/>
        </w:rPr>
        <w:t>ie</w:t>
      </w:r>
      <w:proofErr w:type="spellEnd"/>
      <w:r w:rsidRPr="0000291D">
        <w:rPr>
          <w:lang w:val="en-US"/>
        </w:rPr>
        <w:t xml:space="preserve"> the tracks and signals of the railway are equivalent to the Internet, whereas the trains are one </w:t>
      </w:r>
      <w:r w:rsidRPr="0000291D">
        <w:rPr>
          <w:lang w:val="en-US"/>
        </w:rPr>
        <w:lastRenderedPageBreak/>
        <w:t>application, like the Web. John argued that the Internet is more important than anyone application that runs on it</w:t>
      </w:r>
    </w:p>
    <w:p w:rsidR="0000291D" w:rsidRDefault="0000291D" w:rsidP="0000291D">
      <w:pPr>
        <w:rPr>
          <w:lang w:val="en-US"/>
        </w:rPr>
      </w:pPr>
    </w:p>
    <w:p w:rsidR="0000291D" w:rsidRPr="0000291D" w:rsidRDefault="0000291D" w:rsidP="0000291D">
      <w:pPr>
        <w:pStyle w:val="Heading2"/>
      </w:pPr>
      <w:r w:rsidRPr="0000291D">
        <w:rPr>
          <w:lang w:val="en-US"/>
        </w:rPr>
        <w:t>For the Internet, disruption is a feature, not a bug</w:t>
      </w:r>
    </w:p>
    <w:p w:rsidR="0000291D" w:rsidRPr="0000291D" w:rsidRDefault="0000291D" w:rsidP="0000291D">
      <w:r w:rsidRPr="0000291D">
        <w:rPr>
          <w:lang w:val="en-US"/>
        </w:rPr>
        <w:t xml:space="preserve">There are a number of architectural principles: </w:t>
      </w:r>
      <w:proofErr w:type="spellStart"/>
      <w:r w:rsidRPr="0000291D">
        <w:rPr>
          <w:lang w:val="en-US"/>
        </w:rPr>
        <w:t>i</w:t>
      </w:r>
      <w:proofErr w:type="spellEnd"/>
      <w:r w:rsidRPr="0000291D">
        <w:rPr>
          <w:lang w:val="en-US"/>
        </w:rPr>
        <w:t>) there is no central ownership with the Internet, ii) the Internet is neutral towards the applications that run on it. The result is an explosion of '</w:t>
      </w:r>
      <w:proofErr w:type="spellStart"/>
      <w:r w:rsidRPr="0000291D">
        <w:rPr>
          <w:lang w:val="en-US"/>
        </w:rPr>
        <w:t>permissionless</w:t>
      </w:r>
      <w:proofErr w:type="spellEnd"/>
      <w:r w:rsidRPr="0000291D">
        <w:rPr>
          <w:lang w:val="en-US"/>
        </w:rPr>
        <w:t xml:space="preserve"> innovation', </w:t>
      </w:r>
      <w:proofErr w:type="spellStart"/>
      <w:r w:rsidRPr="0000291D">
        <w:rPr>
          <w:lang w:val="en-US"/>
        </w:rPr>
        <w:t>ie</w:t>
      </w:r>
      <w:proofErr w:type="spellEnd"/>
      <w:r w:rsidRPr="0000291D">
        <w:rPr>
          <w:lang w:val="en-US"/>
        </w:rPr>
        <w:t xml:space="preserve"> there are endless possibilities and innovations. It is a global machine for springing surprises. John wrote a book in the mid-nineties about the history of the Internet and how it was developed. It's a great read and gives a real </w:t>
      </w:r>
      <w:proofErr w:type="spellStart"/>
      <w:r w:rsidRPr="0000291D">
        <w:rPr>
          <w:lang w:val="en-US"/>
        </w:rPr>
        <w:t>flavour</w:t>
      </w:r>
      <w:proofErr w:type="spellEnd"/>
      <w:r w:rsidRPr="0000291D">
        <w:rPr>
          <w:lang w:val="en-US"/>
        </w:rPr>
        <w:t xml:space="preserve"> of the people involved. He referred back to this in his talk. He said that the Internet was development because Tim Berners-Lee had a bad memory! He wanted to </w:t>
      </w:r>
      <w:proofErr w:type="spellStart"/>
      <w:r w:rsidRPr="0000291D">
        <w:rPr>
          <w:lang w:val="en-US"/>
        </w:rPr>
        <w:t>crear</w:t>
      </w:r>
      <w:proofErr w:type="spellEnd"/>
      <w:r w:rsidRPr="0000291D">
        <w:rPr>
          <w:lang w:val="en-US"/>
        </w:rPr>
        <w:t xml:space="preserve"> </w:t>
      </w:r>
      <w:proofErr w:type="gramStart"/>
      <w:r w:rsidRPr="0000291D">
        <w:rPr>
          <w:lang w:val="en-US"/>
        </w:rPr>
        <w:t>un</w:t>
      </w:r>
      <w:proofErr w:type="gramEnd"/>
      <w:r w:rsidRPr="0000291D">
        <w:rPr>
          <w:lang w:val="en-US"/>
        </w:rPr>
        <w:t xml:space="preserve"> </w:t>
      </w:r>
      <w:proofErr w:type="spellStart"/>
      <w:r w:rsidRPr="0000291D">
        <w:rPr>
          <w:lang w:val="en-US"/>
        </w:rPr>
        <w:t>sistema</w:t>
      </w:r>
      <w:proofErr w:type="spellEnd"/>
      <w:r w:rsidRPr="0000291D">
        <w:rPr>
          <w:lang w:val="en-US"/>
        </w:rPr>
        <w:t> to be able to easily access his files and date. The result was the Web and the rest is history. Hence the Web is an example of a disruptive technology. Arguably everything we do now is shaped and affected by the web.</w:t>
      </w:r>
    </w:p>
    <w:p w:rsidR="0000291D" w:rsidRPr="0000291D" w:rsidRDefault="0000291D" w:rsidP="0000291D">
      <w:r w:rsidRPr="0000291D">
        <w:rPr>
          <w:lang w:val="en-US"/>
        </w:rPr>
        <w:t xml:space="preserve">The second example of a </w:t>
      </w:r>
      <w:proofErr w:type="spellStart"/>
      <w:r w:rsidRPr="0000291D">
        <w:rPr>
          <w:lang w:val="en-US"/>
        </w:rPr>
        <w:t>distruptive</w:t>
      </w:r>
      <w:proofErr w:type="spellEnd"/>
      <w:r w:rsidRPr="0000291D">
        <w:rPr>
          <w:lang w:val="en-US"/>
        </w:rPr>
        <w:t xml:space="preserve"> technology John cited is Napster, a site which provided digitized music in the web. Within, 18 months it had 80 million users and almost all music that has ever been created was available from the site. Clearly </w:t>
      </w:r>
      <w:proofErr w:type="spellStart"/>
      <w:r w:rsidRPr="0000291D">
        <w:rPr>
          <w:lang w:val="en-US"/>
        </w:rPr>
        <w:t>howeverthere</w:t>
      </w:r>
      <w:proofErr w:type="spellEnd"/>
      <w:r w:rsidRPr="0000291D">
        <w:rPr>
          <w:lang w:val="en-US"/>
        </w:rPr>
        <w:t xml:space="preserve"> were copyright issues and eventually it was shut down. However it is interesting to see how sites like Napster and the power of the web for distributing materials has changed the nature of the </w:t>
      </w:r>
      <w:proofErr w:type="spellStart"/>
      <w:r w:rsidRPr="0000291D">
        <w:rPr>
          <w:lang w:val="en-US"/>
        </w:rPr>
        <w:t>industria</w:t>
      </w:r>
      <w:proofErr w:type="spellEnd"/>
      <w:r w:rsidRPr="0000291D">
        <w:rPr>
          <w:lang w:val="en-US"/>
        </w:rPr>
        <w:t xml:space="preserve"> de la </w:t>
      </w:r>
      <w:proofErr w:type="spellStart"/>
      <w:r w:rsidRPr="0000291D">
        <w:rPr>
          <w:lang w:val="en-US"/>
        </w:rPr>
        <w:t>música</w:t>
      </w:r>
      <w:proofErr w:type="spellEnd"/>
      <w:r w:rsidRPr="0000291D">
        <w:rPr>
          <w:lang w:val="en-US"/>
        </w:rPr>
        <w:t>, music publishing houses are being seriously affected. For example Radiohead </w:t>
      </w:r>
      <w:proofErr w:type="spellStart"/>
      <w:r w:rsidRPr="0000291D">
        <w:rPr>
          <w:lang w:val="en-US"/>
        </w:rPr>
        <w:t>realizó</w:t>
      </w:r>
      <w:proofErr w:type="spellEnd"/>
      <w:r w:rsidRPr="0000291D">
        <w:rPr>
          <w:lang w:val="en-US"/>
        </w:rPr>
        <w:t xml:space="preserve"> </w:t>
      </w:r>
      <w:proofErr w:type="spellStart"/>
      <w:r w:rsidRPr="0000291D">
        <w:rPr>
          <w:lang w:val="en-US"/>
        </w:rPr>
        <w:t>uno</w:t>
      </w:r>
      <w:proofErr w:type="spellEnd"/>
      <w:r w:rsidRPr="0000291D">
        <w:rPr>
          <w:lang w:val="en-US"/>
        </w:rPr>
        <w:t xml:space="preserve"> de their albums available on the web and said that people could choose to download it for free or pay a donation. Interestingly many did pay for the album, introducing a new business model for buying content. An unpleasant example of a </w:t>
      </w:r>
      <w:proofErr w:type="spellStart"/>
      <w:r w:rsidRPr="0000291D">
        <w:rPr>
          <w:lang w:val="en-US"/>
        </w:rPr>
        <w:t>distruptive</w:t>
      </w:r>
      <w:proofErr w:type="spellEnd"/>
      <w:r w:rsidRPr="0000291D">
        <w:rPr>
          <w:lang w:val="en-US"/>
        </w:rPr>
        <w:t xml:space="preserve"> innovation is the rise of malware </w:t>
      </w:r>
      <w:proofErr w:type="spellStart"/>
      <w:r w:rsidRPr="0000291D">
        <w:rPr>
          <w:lang w:val="en-US"/>
        </w:rPr>
        <w:t>ormalicious</w:t>
      </w:r>
      <w:proofErr w:type="spellEnd"/>
      <w:r w:rsidRPr="0000291D">
        <w:rPr>
          <w:lang w:val="en-US"/>
        </w:rPr>
        <w:t xml:space="preserve"> software, which can invade computers piggy backing on commonly used </w:t>
      </w:r>
      <w:proofErr w:type="spellStart"/>
      <w:r w:rsidRPr="0000291D">
        <w:rPr>
          <w:lang w:val="en-US"/>
        </w:rPr>
        <w:t>programmes</w:t>
      </w:r>
      <w:proofErr w:type="spellEnd"/>
      <w:r w:rsidRPr="0000291D">
        <w:rPr>
          <w:lang w:val="en-US"/>
        </w:rPr>
        <w:t> like Microsoft word. </w:t>
      </w:r>
      <w:r w:rsidRPr="0000291D">
        <w:t xml:space="preserve">Second order surprises include Wikipedia </w:t>
      </w:r>
      <w:proofErr w:type="spellStart"/>
      <w:r w:rsidRPr="0000291D">
        <w:t>andFacebook</w:t>
      </w:r>
      <w:proofErr w:type="spellEnd"/>
      <w:r w:rsidRPr="0000291D">
        <w:t xml:space="preserve">, which has 850 million users, of which about 50% check the site </w:t>
      </w:r>
      <w:proofErr w:type="spellStart"/>
      <w:r w:rsidRPr="0000291D">
        <w:t>everyday</w:t>
      </w:r>
      <w:proofErr w:type="spellEnd"/>
      <w:r w:rsidRPr="0000291D">
        <w:t>.</w:t>
      </w:r>
    </w:p>
    <w:p w:rsidR="0000291D" w:rsidRDefault="0000291D" w:rsidP="0000291D">
      <w:pPr>
        <w:rPr>
          <w:lang w:val="en-US"/>
        </w:rPr>
      </w:pPr>
    </w:p>
    <w:p w:rsidR="0000291D" w:rsidRPr="0000291D" w:rsidRDefault="0000291D" w:rsidP="0000291D">
      <w:pPr>
        <w:pStyle w:val="Heading2"/>
      </w:pPr>
      <w:r w:rsidRPr="0000291D">
        <w:rPr>
          <w:lang w:val="en-US"/>
        </w:rPr>
        <w:t>Think ecology not just economics</w:t>
      </w:r>
    </w:p>
    <w:p w:rsidR="0000291D" w:rsidRPr="0000291D" w:rsidRDefault="0000291D" w:rsidP="0000291D">
      <w:r w:rsidRPr="0000291D">
        <w:rPr>
          <w:lang w:val="en-US"/>
        </w:rPr>
        <w:t xml:space="preserve">Application of economics is not appropriate in a web-world dominated by abundance. John used the analogy of shifting </w:t>
      </w:r>
      <w:proofErr w:type="spellStart"/>
      <w:r w:rsidRPr="0000291D">
        <w:rPr>
          <w:lang w:val="en-US"/>
        </w:rPr>
        <w:t>fro</w:t>
      </w:r>
      <w:proofErr w:type="spellEnd"/>
      <w:r w:rsidRPr="0000291D">
        <w:rPr>
          <w:lang w:val="en-US"/>
        </w:rPr>
        <w:t xml:space="preserve"> a dessert to a rich </w:t>
      </w:r>
      <w:proofErr w:type="spellStart"/>
      <w:r w:rsidRPr="0000291D">
        <w:rPr>
          <w:lang w:val="en-US"/>
        </w:rPr>
        <w:t>biodiverse</w:t>
      </w:r>
      <w:proofErr w:type="spellEnd"/>
      <w:r w:rsidRPr="0000291D">
        <w:rPr>
          <w:lang w:val="en-US"/>
        </w:rPr>
        <w:t xml:space="preserve"> rainforest. The ecological metaphor is a useful metaphor or analytical framework for describing both the diversity of the activities occurring on the web, as well as the evolving dynamics </w:t>
      </w:r>
      <w:proofErr w:type="spellStart"/>
      <w:r w:rsidRPr="0000291D">
        <w:rPr>
          <w:lang w:val="en-US"/>
        </w:rPr>
        <w:t>ofdifferent</w:t>
      </w:r>
      <w:proofErr w:type="spellEnd"/>
      <w:r w:rsidRPr="0000291D">
        <w:rPr>
          <w:lang w:val="en-US"/>
        </w:rPr>
        <w:t xml:space="preserve"> tools.</w:t>
      </w:r>
    </w:p>
    <w:p w:rsidR="0000291D" w:rsidRDefault="0000291D" w:rsidP="0000291D">
      <w:pPr>
        <w:rPr>
          <w:lang w:val="en-US"/>
        </w:rPr>
      </w:pPr>
    </w:p>
    <w:p w:rsidR="0000291D" w:rsidRPr="0000291D" w:rsidRDefault="0000291D" w:rsidP="0000291D">
      <w:pPr>
        <w:pStyle w:val="Heading2"/>
        <w:rPr>
          <w:lang w:val="en-US"/>
        </w:rPr>
      </w:pPr>
      <w:r w:rsidRPr="0000291D">
        <w:rPr>
          <w:lang w:val="en-US"/>
        </w:rPr>
        <w:t>Complexity is the new reality</w:t>
      </w:r>
    </w:p>
    <w:p w:rsidR="0000291D" w:rsidRPr="0000291D" w:rsidRDefault="0000291D" w:rsidP="0000291D">
      <w:r w:rsidRPr="0000291D">
        <w:rPr>
          <w:lang w:val="en-US"/>
        </w:rPr>
        <w:t xml:space="preserve">The web provides an order of magnitude of complexity. Properties include: dense interconnectivity, highly dynamic, open, non-linear, extraordinary </w:t>
      </w:r>
      <w:proofErr w:type="spellStart"/>
      <w:r w:rsidRPr="0000291D">
        <w:rPr>
          <w:lang w:val="en-US"/>
        </w:rPr>
        <w:t>behavourial</w:t>
      </w:r>
      <w:proofErr w:type="spellEnd"/>
      <w:r w:rsidRPr="0000291D">
        <w:rPr>
          <w:lang w:val="en-US"/>
        </w:rPr>
        <w:t xml:space="preserve"> diversity and intrinsically unpredictable. Ashley's law of requisite variety is in effect and its implications. For a system to be viable it has to be able to handle the complexity of the environment.</w:t>
      </w:r>
    </w:p>
    <w:p w:rsidR="0000291D" w:rsidRDefault="0000291D" w:rsidP="0000291D">
      <w:pPr>
        <w:rPr>
          <w:lang w:val="en-US"/>
        </w:rPr>
      </w:pPr>
    </w:p>
    <w:p w:rsidR="0000291D" w:rsidRPr="0000291D" w:rsidRDefault="0000291D" w:rsidP="0000291D">
      <w:pPr>
        <w:pStyle w:val="Heading2"/>
      </w:pPr>
      <w:r w:rsidRPr="0000291D">
        <w:rPr>
          <w:lang w:val="en-US"/>
        </w:rPr>
        <w:lastRenderedPageBreak/>
        <w:t>The network is now the computer</w:t>
      </w:r>
    </w:p>
    <w:p w:rsidR="0000291D" w:rsidRPr="0000291D" w:rsidRDefault="0000291D" w:rsidP="0000291D">
      <w:r w:rsidRPr="0000291D">
        <w:rPr>
          <w:lang w:val="en-US"/>
        </w:rPr>
        <w:t>In particular with the emergence of cloud computing the network is now the computer. Increasingly we use cloud-based tools and store data on the net rather than our computer. There are implications of this, for: users, the environment (cloud computer requires huge, energy hungry server farms, mainstream business, privacy, security and freedom.</w:t>
      </w:r>
    </w:p>
    <w:p w:rsidR="0000291D" w:rsidRDefault="0000291D" w:rsidP="0000291D">
      <w:pPr>
        <w:rPr>
          <w:lang w:val="en-US"/>
        </w:rPr>
      </w:pPr>
    </w:p>
    <w:p w:rsidR="0000291D" w:rsidRPr="0000291D" w:rsidRDefault="0000291D" w:rsidP="0000291D">
      <w:pPr>
        <w:pStyle w:val="Heading2"/>
      </w:pPr>
      <w:r w:rsidRPr="0000291D">
        <w:rPr>
          <w:lang w:val="en-US"/>
        </w:rPr>
        <w:t>The web is evolving</w:t>
      </w:r>
    </w:p>
    <w:p w:rsidR="0000291D" w:rsidRPr="0000291D" w:rsidRDefault="0000291D" w:rsidP="0000291D">
      <w:r w:rsidRPr="0000291D">
        <w:rPr>
          <w:lang w:val="en-US"/>
        </w:rPr>
        <w:t xml:space="preserve">We pages are not </w:t>
      </w:r>
      <w:r w:rsidR="00E24504" w:rsidRPr="0000291D">
        <w:rPr>
          <w:lang w:val="en-US"/>
        </w:rPr>
        <w:t>static;</w:t>
      </w:r>
      <w:r w:rsidRPr="0000291D">
        <w:rPr>
          <w:lang w:val="en-US"/>
        </w:rPr>
        <w:t xml:space="preserve"> they are made up on the fly. Arguably there is a web geology consisting of: Web 1.0 (1991-2003), Web 2.0 (2004-present), Web 3.0 (2012?), Web 4.0 (?).  </w:t>
      </w:r>
    </w:p>
    <w:p w:rsidR="0000291D" w:rsidRDefault="0000291D" w:rsidP="0000291D">
      <w:pPr>
        <w:rPr>
          <w:lang w:val="en-US"/>
        </w:rPr>
      </w:pPr>
    </w:p>
    <w:p w:rsidR="0000291D" w:rsidRPr="0000291D" w:rsidRDefault="0000291D" w:rsidP="0000291D">
      <w:pPr>
        <w:pStyle w:val="Heading2"/>
      </w:pPr>
      <w:r w:rsidRPr="0000291D">
        <w:rPr>
          <w:lang w:val="en-US"/>
        </w:rPr>
        <w:t xml:space="preserve">Copyright and </w:t>
      </w:r>
      <w:proofErr w:type="spellStart"/>
      <w:r w:rsidRPr="0000291D">
        <w:rPr>
          <w:lang w:val="en-US"/>
        </w:rPr>
        <w:t>copyleft</w:t>
      </w:r>
      <w:proofErr w:type="spellEnd"/>
    </w:p>
    <w:p w:rsidR="0000291D" w:rsidRDefault="0000291D" w:rsidP="0000291D">
      <w:pPr>
        <w:rPr>
          <w:lang w:val="en-US"/>
        </w:rPr>
      </w:pPr>
      <w:r w:rsidRPr="0000291D">
        <w:rPr>
          <w:lang w:val="en-US"/>
        </w:rPr>
        <w:t>Our intellectual property regime no longer makes any sense. Analogue copyright is about different, degenerative, costly, and hard to disseminate, whereas digital copyright is perfecta, easy, cheap, and easy to disseminate. Our IP was development in an analogue era; we are trying to apply it to a world dominated by a technology for which</w:t>
      </w:r>
      <w:r>
        <w:rPr>
          <w:lang w:val="en-US"/>
        </w:rPr>
        <w:t xml:space="preserve"> </w:t>
      </w:r>
      <w:r w:rsidRPr="0000291D">
        <w:rPr>
          <w:lang w:val="en-US"/>
        </w:rPr>
        <w:t xml:space="preserve">copying is an integral and essential part. </w:t>
      </w:r>
    </w:p>
    <w:p w:rsidR="0000291D" w:rsidRPr="0000291D" w:rsidRDefault="0000291D" w:rsidP="0000291D">
      <w:pPr>
        <w:pStyle w:val="Heading2"/>
      </w:pPr>
      <w:proofErr w:type="gramStart"/>
      <w:r w:rsidRPr="0000291D">
        <w:rPr>
          <w:lang w:val="en-US"/>
        </w:rPr>
        <w:t>Orwell vs. Huxley – bookends of our future?</w:t>
      </w:r>
      <w:proofErr w:type="gramEnd"/>
    </w:p>
    <w:p w:rsidR="00A72EE2" w:rsidRPr="0000291D" w:rsidRDefault="0000291D" w:rsidP="0000291D">
      <w:proofErr w:type="spellStart"/>
      <w:r>
        <w:rPr>
          <w:lang w:val="en-US"/>
        </w:rPr>
        <w:t>Naughton</w:t>
      </w:r>
      <w:proofErr w:type="spellEnd"/>
      <w:r w:rsidRPr="0000291D">
        <w:rPr>
          <w:lang w:val="en-US"/>
        </w:rPr>
        <w:t xml:space="preserve"> concluded by reflecting on the future and whether it will be an Orwellian </w:t>
      </w:r>
      <w:proofErr w:type="spellStart"/>
      <w:r w:rsidRPr="0000291D">
        <w:rPr>
          <w:lang w:val="en-US"/>
        </w:rPr>
        <w:t>oHuxleyian</w:t>
      </w:r>
      <w:proofErr w:type="spellEnd"/>
      <w:r w:rsidRPr="0000291D">
        <w:rPr>
          <w:lang w:val="en-US"/>
        </w:rPr>
        <w:t xml:space="preserve"> vision. Where is all this taking us? Is it the end of the techno-Utopia, </w:t>
      </w:r>
      <w:proofErr w:type="spellStart"/>
      <w:r w:rsidRPr="0000291D">
        <w:rPr>
          <w:lang w:val="en-US"/>
        </w:rPr>
        <w:t>ie</w:t>
      </w:r>
      <w:proofErr w:type="spellEnd"/>
      <w:r w:rsidRPr="0000291D">
        <w:rPr>
          <w:lang w:val="en-US"/>
        </w:rPr>
        <w:t xml:space="preserve"> the fantasy that the internet would change everything for the </w:t>
      </w:r>
      <w:proofErr w:type="gramStart"/>
      <w:r w:rsidRPr="0000291D">
        <w:rPr>
          <w:lang w:val="en-US"/>
        </w:rPr>
        <w:t>better.</w:t>
      </w:r>
      <w:proofErr w:type="gramEnd"/>
      <w:r w:rsidRPr="0000291D">
        <w:rPr>
          <w:lang w:val="en-US"/>
        </w:rPr>
        <w:t xml:space="preserve"> Orwell feared that we would be destroyed by the things that we fear – examples might include Government surveillance, </w:t>
      </w:r>
      <w:proofErr w:type="spellStart"/>
      <w:r w:rsidRPr="0000291D">
        <w:rPr>
          <w:lang w:val="en-US"/>
        </w:rPr>
        <w:t>ie</w:t>
      </w:r>
      <w:proofErr w:type="spellEnd"/>
      <w:r w:rsidRPr="0000291D">
        <w:rPr>
          <w:lang w:val="en-US"/>
        </w:rPr>
        <w:t xml:space="preserve"> the power to monitor everything that you do on the net. Huxley argued that it is easier to control people by making them happy rather </w:t>
      </w:r>
      <w:proofErr w:type="spellStart"/>
      <w:r w:rsidRPr="0000291D">
        <w:rPr>
          <w:lang w:val="en-US"/>
        </w:rPr>
        <w:t>that</w:t>
      </w:r>
      <w:proofErr w:type="spellEnd"/>
      <w:r w:rsidRPr="0000291D">
        <w:rPr>
          <w:lang w:val="en-US"/>
        </w:rPr>
        <w:t> through fear. Are we controlled by our love and addiction to technologies?</w:t>
      </w:r>
    </w:p>
    <w:p w:rsidR="004B4816" w:rsidRDefault="00346AF0" w:rsidP="004B4816">
      <w:pPr>
        <w:pStyle w:val="Heading1"/>
      </w:pPr>
      <w:r>
        <w:t>Social and participatory media</w:t>
      </w:r>
    </w:p>
    <w:p w:rsidR="009C7F84" w:rsidRDefault="009C7F84" w:rsidP="009C7F84">
      <w:r>
        <w:t xml:space="preserve">New technologies have a unique set of characteristics: networked, distributed, peer reviewed and open, they are complex, dynamic and evolving – we co-evolve with the technologies, appropriating them into our everyday practice. Your network and who you connect with defines you.  A number of useful reports give summaries of these new technologies and their implications for education, for example the NSF-commissioned report on </w:t>
      </w:r>
      <w:proofErr w:type="spellStart"/>
      <w:r>
        <w:t>Cyberlearning</w:t>
      </w:r>
      <w:proofErr w:type="spellEnd"/>
      <w:r>
        <w:t xml:space="preserve"> </w:t>
      </w:r>
      <w:r>
        <w:fldChar w:fldCharType="begin"/>
      </w:r>
      <w:r>
        <w:instrText xml:space="preserve"> ADDIN EN.CITE &lt;EndNote&gt;&lt;Cite&gt;&lt;Author&gt;Borgeman&lt;/Author&gt;&lt;Year&gt;2008&lt;/Year&gt;&lt;RecNum&gt;23&lt;/RecNum&gt;&lt;DisplayText&gt;(Borgeman, Abelson et al. 2008)&lt;/DisplayText&gt;&lt;record&gt;&lt;rec-number&gt;23&lt;/rec-number&gt;&lt;foreign-keys&gt;&lt;key app="EN" db-id="2errrtwrme9dt5e5fpyv5pta2fzsx5vrd0zz"&gt;23&lt;/key&gt;&lt;/foreign-keys&gt;&lt;ref-type name="Report"&gt;27&lt;/ref-type&gt;&lt;contributors&gt;&lt;authors&gt;&lt;author&gt;Christine Borgeman&lt;/author&gt;&lt;author&gt;H Abelson&lt;/author&gt;&lt;author&gt;L Dirks&lt;/author&gt;&lt;author&gt;R Johnson&lt;/author&gt;&lt;author&gt;K Koedinger&lt;/author&gt;&lt;author&gt;M Linn&lt;/author&gt;&lt;author&gt;C Lynch&lt;/author&gt;&lt;author&gt;D Oblinger&lt;/author&gt;&lt;author&gt;R Pea&lt;/author&gt;&lt;author&gt;K Salen&lt;/author&gt;&lt;author&gt;M Smith&lt;/author&gt;&lt;author&gt;A Aalay&lt;/author&gt;&lt;/authors&gt;&lt;/contributors&gt;&lt;titles&gt;&lt;title&gt;Fostering learning in the networked world: the cyberlearning opportunity and challenge, Report of the NSF task force on cyberlearning&lt;/title&gt;&lt;/titles&gt;&lt;dates&gt;&lt;year&gt;2008&lt;/year&gt;&lt;/dates&gt;&lt;urls&gt;&lt;related-urls&gt;&lt;url&gt;http://www.nsf.gov/pubs/2008/nsf08204/nsf08204.pdf&lt;/url&gt;&lt;/related-urls&gt;&lt;/urls&gt;&lt;/record&gt;&lt;/Cite&gt;&lt;/EndNote&gt;</w:instrText>
      </w:r>
      <w:r>
        <w:fldChar w:fldCharType="separate"/>
      </w:r>
      <w:r>
        <w:rPr>
          <w:noProof/>
        </w:rPr>
        <w:t>(</w:t>
      </w:r>
      <w:hyperlink w:anchor="_ENREF_6" w:tooltip="Borgeman, 2008 #23" w:history="1">
        <w:r>
          <w:rPr>
            <w:noProof/>
          </w:rPr>
          <w:t>Borgeman, Abelson et al. 2008</w:t>
        </w:r>
      </w:hyperlink>
      <w:r>
        <w:rPr>
          <w:noProof/>
        </w:rPr>
        <w:t>)</w:t>
      </w:r>
      <w:r>
        <w:fldChar w:fldCharType="end"/>
      </w:r>
      <w:r>
        <w:t xml:space="preserve">, a review of Web 2.0 tools in HE </w:t>
      </w:r>
      <w:r>
        <w:fldChar w:fldCharType="begin"/>
      </w:r>
      <w:r>
        <w:instrText xml:space="preserve"> ADDIN EN.CITE &lt;EndNote&gt;&lt;Cite&gt;&lt;Author&gt;Conole&lt;/Author&gt;&lt;Year&gt;2010&lt;/Year&gt;&lt;RecNum&gt;20&lt;/RecNum&gt;&lt;DisplayText&gt;(Conole and Alevizou 2010)&lt;/DisplayText&gt;&lt;record&gt;&lt;rec-number&gt;20&lt;/rec-number&gt;&lt;foreign-keys&gt;&lt;key app="EN" db-id="2errrtwrme9dt5e5fpyv5pta2fzsx5vrd0zz"&gt;20&lt;/key&gt;&lt;/foreign-keys&gt;&lt;ref-type name="Electronic Article"&gt;43&lt;/ref-type&gt;&lt;contributors&gt;&lt;authors&gt;&lt;author&gt;Grainne Conole&lt;/author&gt;&lt;author&gt;Panagiota Alevizou&lt;/author&gt;&lt;/authors&gt;&lt;/contributors&gt;&lt;titles&gt;&lt;title&gt;Review of the use(s) of Web 2.0 in Higher Education&lt;/title&gt;&lt;/titles&gt;&lt;dates&gt;&lt;year&gt;2010&lt;/year&gt;&lt;/dates&gt;&lt;urls&gt;&lt;related-urls&gt;&lt;url&gt;http://cloudworks.ac.uk/cloudscape/view/1895&lt;/url&gt;&lt;/related-urls&gt;&lt;/urls&gt;&lt;/record&gt;&lt;/Cite&gt;&lt;/EndNote&gt;</w:instrText>
      </w:r>
      <w:r>
        <w:fldChar w:fldCharType="separate"/>
      </w:r>
      <w:r>
        <w:rPr>
          <w:noProof/>
        </w:rPr>
        <w:t>(</w:t>
      </w:r>
      <w:hyperlink w:anchor="_ENREF_15" w:tooltip="Conole, 2010 #20" w:history="1">
        <w:r>
          <w:rPr>
            <w:noProof/>
          </w:rPr>
          <w:t>Conole and Alevizou 2010</w:t>
        </w:r>
      </w:hyperlink>
      <w:r>
        <w:rPr>
          <w:noProof/>
        </w:rPr>
        <w:t>)</w:t>
      </w:r>
      <w:r>
        <w:fldChar w:fldCharType="end"/>
      </w:r>
      <w:r>
        <w:t xml:space="preserve"> and more recently the IPTS report on digital competences </w:t>
      </w:r>
      <w:r>
        <w:fldChar w:fldCharType="begin"/>
      </w:r>
      <w:r>
        <w:instrText xml:space="preserve"> ADDIN EN.CITE &lt;EndNote&gt;&lt;Cite&gt;&lt;Author&gt;Ala-Mutka&lt;/Author&gt;&lt;Year&gt;2012&lt;/Year&gt;&lt;RecNum&gt;608&lt;/RecNum&gt;&lt;DisplayText&gt;(Ala-Mutka 2012)&lt;/DisplayText&gt;&lt;record&gt;&lt;rec-number&gt;608&lt;/rec-number&gt;&lt;foreign-keys&gt;&lt;key app="EN" db-id="2errrtwrme9dt5e5fpyv5pta2fzsx5vrd0zz"&gt;608&lt;/key&gt;&lt;/foreign-keys&gt;&lt;ref-type name="Report"&gt;27&lt;/ref-type&gt;&lt;contributors&gt;&lt;authors&gt;&lt;author&gt;Ala-Mutka, K.&lt;/author&gt;&lt;/authors&gt;&lt;/contributors&gt;&lt;titles&gt;&lt;title&gt;Mapping digital competence: towards a conceptual understanding&lt;/title&gt;&lt;secondary-title&gt;IPTS report&lt;/secondary-title&gt;&lt;/titles&gt;&lt;dates&gt;&lt;year&gt;2012&lt;/year&gt;&lt;/dates&gt;&lt;pub-location&gt;Saville&lt;/pub-location&gt;&lt;urls&gt;&lt;related-urls&gt;&lt;url&gt;http://ftp.jrc.es/EURdoc/JRC67075_TN.pdf&lt;/url&gt;&lt;/related-urls&gt;&lt;/urls&gt;&lt;/record&gt;&lt;/Cite&gt;&lt;/EndNote&gt;</w:instrText>
      </w:r>
      <w:r>
        <w:fldChar w:fldCharType="separate"/>
      </w:r>
      <w:r>
        <w:rPr>
          <w:noProof/>
        </w:rPr>
        <w:t>(</w:t>
      </w:r>
      <w:hyperlink w:anchor="_ENREF_1" w:tooltip="Ala-Mutka, 2012 #608" w:history="1">
        <w:r>
          <w:rPr>
            <w:noProof/>
          </w:rPr>
          <w:t>Ala-Mutka 2012</w:t>
        </w:r>
      </w:hyperlink>
      <w:r>
        <w:rPr>
          <w:noProof/>
        </w:rPr>
        <w:t>)</w:t>
      </w:r>
      <w:r>
        <w:fldChar w:fldCharType="end"/>
      </w:r>
      <w:r>
        <w:t>. Digital competence is defined as:</w:t>
      </w:r>
    </w:p>
    <w:p w:rsidR="009C7F84" w:rsidRPr="00C11CE1" w:rsidRDefault="009C7F84" w:rsidP="009C7F84">
      <w:pPr>
        <w:ind w:left="720"/>
        <w:rPr>
          <w:sz w:val="22"/>
        </w:rPr>
      </w:pPr>
      <w:r w:rsidRPr="00C11CE1">
        <w:rPr>
          <w:sz w:val="22"/>
        </w:rPr>
        <w:t>The confident, critical and creative use of ICT to achieve goals related to work, employability, learning, leisure, inclusion and/or participation in society (</w:t>
      </w:r>
      <w:proofErr w:type="spellStart"/>
      <w:r w:rsidRPr="00C11CE1">
        <w:rPr>
          <w:sz w:val="22"/>
        </w:rPr>
        <w:t>Ala-Mutka</w:t>
      </w:r>
      <w:proofErr w:type="spellEnd"/>
      <w:r w:rsidRPr="00C11CE1">
        <w:rPr>
          <w:sz w:val="22"/>
        </w:rPr>
        <w:t>, 2012:1).</w:t>
      </w:r>
    </w:p>
    <w:p w:rsidR="009C7F84" w:rsidRDefault="009C7F84" w:rsidP="009C7F84"/>
    <w:p w:rsidR="009C7F84" w:rsidRDefault="009C7F84" w:rsidP="009C7F84">
      <w:r>
        <w:t xml:space="preserve">The IPTS report describes how new technologies are being used for work, leisure and communication, arguing that the network is the key.  It also recognizes that new technologies are more participatory, promoting more open practices. However it also states that the digital divide </w:t>
      </w:r>
      <w:r>
        <w:fldChar w:fldCharType="begin"/>
      </w:r>
      <w:r>
        <w:instrText xml:space="preserve"> ADDIN EN.CITE &lt;EndNote&gt;&lt;Cite&gt;&lt;Author&gt;Norris&lt;/Author&gt;&lt;Year&gt;2001&lt;/Year&gt;&lt;RecNum&gt;290&lt;/RecNum&gt;&lt;DisplayText&gt;(Norris 2001; Warschauer 2004)&lt;/DisplayText&gt;&lt;record&gt;&lt;rec-number&gt;290&lt;/rec-number&gt;&lt;foreign-keys&gt;&lt;key app="EN" db-id="2errrtwrme9dt5e5fpyv5pta2fzsx5vrd0zz"&gt;290&lt;/key&gt;&lt;/foreign-keys&gt;&lt;ref-type name="Book"&gt;6&lt;/ref-type&gt;&lt;contributors&gt;&lt;authors&gt;&lt;author&gt;Norris, P.&lt;/author&gt;&lt;/authors&gt;&lt;/contributors&gt;&lt;titles&gt;&lt;title&gt;Digital divide: Civic engagement, information poverty, and the Internet worldwide&lt;/title&gt;&lt;/titles&gt;&lt;dates&gt;&lt;year&gt;2001&lt;/year&gt;&lt;/dates&gt;&lt;publisher&gt;Cambridge Univ Pr&lt;/publisher&gt;&lt;urls&gt;&lt;/urls&gt;&lt;/record&gt;&lt;/Cite&gt;&lt;Cite&gt;&lt;Author&gt;Warschauer&lt;/Author&gt;&lt;Year&gt;2004&lt;/Year&gt;&lt;RecNum&gt;73&lt;/RecNum&gt;&lt;record&gt;&lt;rec-number&gt;73&lt;/rec-number&gt;&lt;foreign-keys&gt;&lt;key app="EN" db-id="2errrtwrme9dt5e5fpyv5pta2fzsx5vrd0zz"&gt;73&lt;/key&gt;&lt;/foreign-keys&gt;&lt;ref-type name="Book"&gt;6&lt;/ref-type&gt;&lt;contributors&gt;&lt;authors&gt;&lt;author&gt;Warschauer, M.&lt;/author&gt;&lt;/authors&gt;&lt;/contributors&gt;&lt;titles&gt;&lt;title&gt;Technology and social inclusion: Rethinking the digital divide&lt;/title&gt;&lt;/titles&gt;&lt;dates&gt;&lt;year&gt;2004&lt;/year&gt;&lt;/dates&gt;&lt;publisher&gt;the MIT Press&lt;/publisher&gt;&lt;urls&gt;&lt;/urls&gt;&lt;/record&gt;&lt;/Cite&gt;&lt;/EndNote&gt;</w:instrText>
      </w:r>
      <w:r>
        <w:fldChar w:fldCharType="separate"/>
      </w:r>
      <w:r>
        <w:rPr>
          <w:noProof/>
        </w:rPr>
        <w:t>(</w:t>
      </w:r>
      <w:hyperlink w:anchor="_ENREF_29" w:tooltip="Norris, 2001 #290" w:history="1">
        <w:r>
          <w:rPr>
            <w:noProof/>
          </w:rPr>
          <w:t>Norris 2001</w:t>
        </w:r>
      </w:hyperlink>
      <w:r>
        <w:rPr>
          <w:noProof/>
        </w:rPr>
        <w:t xml:space="preserve">; </w:t>
      </w:r>
      <w:hyperlink w:anchor="_ENREF_35" w:tooltip="Warschauer, 2004 #73" w:history="1">
        <w:r>
          <w:rPr>
            <w:noProof/>
          </w:rPr>
          <w:t>Warschauer 2004</w:t>
        </w:r>
      </w:hyperlink>
      <w:r>
        <w:rPr>
          <w:noProof/>
        </w:rPr>
        <w:t>)</w:t>
      </w:r>
      <w:r>
        <w:fldChar w:fldCharType="end"/>
      </w:r>
      <w:r>
        <w:t xml:space="preserve"> is </w:t>
      </w:r>
      <w:r>
        <w:lastRenderedPageBreak/>
        <w:t xml:space="preserve">still present – arguably narrower, but deeper. What are the implications of not being part of the net, when increasingly more and more information is only available online? The report outlines a digital competency framework, consisting of three aspects: information skills and knowledge, advanced skills and knowledge and attitudes. These can be broken down into the following components: </w:t>
      </w:r>
    </w:p>
    <w:p w:rsidR="009C7F84" w:rsidRDefault="009C7F84" w:rsidP="009C7F84">
      <w:pPr>
        <w:pStyle w:val="ListParagraph"/>
        <w:numPr>
          <w:ilvl w:val="0"/>
          <w:numId w:val="11"/>
        </w:numPr>
        <w:spacing w:after="0" w:line="240" w:lineRule="auto"/>
        <w:ind w:left="426" w:hanging="426"/>
      </w:pPr>
      <w:r>
        <w:t>Operational skills and knowledge – referring to the technical aspects of digital tools, such as using a mouse or manipulating particular tools.</w:t>
      </w:r>
    </w:p>
    <w:p w:rsidR="009C7F84" w:rsidRDefault="009C7F84" w:rsidP="009C7F84">
      <w:pPr>
        <w:pStyle w:val="ListParagraph"/>
        <w:numPr>
          <w:ilvl w:val="0"/>
          <w:numId w:val="11"/>
        </w:numPr>
        <w:spacing w:after="0" w:line="240" w:lineRule="auto"/>
        <w:ind w:left="426" w:hanging="426"/>
      </w:pPr>
      <w:r>
        <w:t xml:space="preserve">Medium-related skills and knowledge – referring to understanding how to purposefully and safely use specific media.  </w:t>
      </w:r>
    </w:p>
    <w:p w:rsidR="009C7F84" w:rsidRDefault="009C7F84" w:rsidP="009C7F84">
      <w:pPr>
        <w:pStyle w:val="ListParagraph"/>
        <w:numPr>
          <w:ilvl w:val="0"/>
          <w:numId w:val="11"/>
        </w:numPr>
        <w:spacing w:after="0" w:line="240" w:lineRule="auto"/>
        <w:ind w:left="426" w:hanging="426"/>
      </w:pPr>
      <w:r>
        <w:t xml:space="preserve">Communication and collaboration – referring to the ability to effectively express and communicate, as well as understanding the potential and limitations of different media. </w:t>
      </w:r>
    </w:p>
    <w:p w:rsidR="009C7F84" w:rsidRDefault="009C7F84" w:rsidP="009C7F84">
      <w:pPr>
        <w:pStyle w:val="ListParagraph"/>
        <w:numPr>
          <w:ilvl w:val="0"/>
          <w:numId w:val="11"/>
        </w:numPr>
        <w:spacing w:after="0" w:line="240" w:lineRule="auto"/>
        <w:ind w:left="426" w:hanging="426"/>
      </w:pPr>
      <w:r>
        <w:t>Information management – referring to navigating the wealth of information available online and making informed judgments about which resources are appropriate in different contexts.</w:t>
      </w:r>
    </w:p>
    <w:p w:rsidR="009C7F84" w:rsidRDefault="009C7F84" w:rsidP="009C7F84">
      <w:pPr>
        <w:pStyle w:val="ListParagraph"/>
        <w:numPr>
          <w:ilvl w:val="0"/>
          <w:numId w:val="11"/>
        </w:numPr>
        <w:spacing w:after="0" w:line="240" w:lineRule="auto"/>
        <w:ind w:left="426" w:hanging="426"/>
      </w:pPr>
      <w:r>
        <w:t xml:space="preserve">Learning and problem solving – referring to acquisition of the skills needed to harness digital tools for learning, working and problem solving. </w:t>
      </w:r>
    </w:p>
    <w:p w:rsidR="009C7F84" w:rsidRDefault="009C7F84" w:rsidP="009C7F84">
      <w:pPr>
        <w:pStyle w:val="ListParagraph"/>
        <w:numPr>
          <w:ilvl w:val="0"/>
          <w:numId w:val="11"/>
        </w:numPr>
        <w:spacing w:after="0" w:line="240" w:lineRule="auto"/>
        <w:ind w:left="426" w:hanging="426"/>
      </w:pPr>
      <w:r>
        <w:t xml:space="preserve">Meaningful participation – referring to the ability to find and participate in digital activities, either individually or in collaboration with others. </w:t>
      </w:r>
    </w:p>
    <w:p w:rsidR="009C7F84" w:rsidRDefault="009C7F84" w:rsidP="009C7F84">
      <w:pPr>
        <w:pStyle w:val="ListParagraph"/>
        <w:numPr>
          <w:ilvl w:val="0"/>
          <w:numId w:val="11"/>
        </w:numPr>
        <w:spacing w:after="0" w:line="240" w:lineRule="auto"/>
        <w:ind w:left="426" w:hanging="426"/>
      </w:pPr>
      <w:r>
        <w:t xml:space="preserve">Intercultural and collaborative attitude – referring to the ability to be culturally sensitive and able to participate with others from different cultures in an appropriate manner. </w:t>
      </w:r>
    </w:p>
    <w:p w:rsidR="009C7F84" w:rsidRDefault="009C7F84" w:rsidP="009C7F84">
      <w:pPr>
        <w:pStyle w:val="ListParagraph"/>
        <w:numPr>
          <w:ilvl w:val="0"/>
          <w:numId w:val="11"/>
        </w:numPr>
        <w:spacing w:after="0" w:line="240" w:lineRule="auto"/>
        <w:ind w:left="426" w:hanging="426"/>
      </w:pPr>
      <w:r>
        <w:t xml:space="preserve">Critical attitude – referring to the ability to critically reflect on the quality and provenance of things they find on the net. </w:t>
      </w:r>
    </w:p>
    <w:p w:rsidR="009C7F84" w:rsidRDefault="009C7F84" w:rsidP="009C7F84">
      <w:pPr>
        <w:pStyle w:val="ListParagraph"/>
        <w:numPr>
          <w:ilvl w:val="0"/>
          <w:numId w:val="11"/>
        </w:numPr>
        <w:spacing w:after="0" w:line="240" w:lineRule="auto"/>
        <w:ind w:left="426" w:hanging="426"/>
      </w:pPr>
      <w:r>
        <w:t xml:space="preserve">Creative attitude – referring to the ability to adopt creative practices in harnessing technologies for learning, work and leisure activities, encouraging open and participatory approaches. </w:t>
      </w:r>
    </w:p>
    <w:p w:rsidR="009C7F84" w:rsidRDefault="009C7F84" w:rsidP="009C7F84">
      <w:pPr>
        <w:pStyle w:val="ListParagraph"/>
        <w:numPr>
          <w:ilvl w:val="0"/>
          <w:numId w:val="11"/>
        </w:numPr>
        <w:spacing w:after="0" w:line="240" w:lineRule="auto"/>
        <w:ind w:left="426" w:hanging="426"/>
      </w:pPr>
      <w:r>
        <w:t xml:space="preserve">Responsible attitude – referring to the need to be aware of the visibility and potential consequences of one’s own digital activities. </w:t>
      </w:r>
    </w:p>
    <w:p w:rsidR="009C7F84" w:rsidRDefault="009C7F84" w:rsidP="009C7F84">
      <w:pPr>
        <w:pStyle w:val="ListParagraph"/>
        <w:numPr>
          <w:ilvl w:val="0"/>
          <w:numId w:val="11"/>
        </w:numPr>
        <w:spacing w:after="0" w:line="240" w:lineRule="auto"/>
        <w:ind w:left="426" w:hanging="426"/>
      </w:pPr>
      <w:r>
        <w:t xml:space="preserve">Autonomous attitude – referring to the fact that the internet is not structured and has no rules or monitoring. Each individual needs to be clear of their own objectives and find and choose appropriate tools and resources to meet these objectives. </w:t>
      </w:r>
    </w:p>
    <w:p w:rsidR="009C7F84" w:rsidRDefault="009C7F84" w:rsidP="009C7F84"/>
    <w:p w:rsidR="009C7F84" w:rsidRDefault="009C7F84" w:rsidP="009C7F84">
      <w:r>
        <w:t>The report also lists the benefits in terms of: s</w:t>
      </w:r>
      <w:r w:rsidRPr="009B38A5">
        <w:t>ocial</w:t>
      </w:r>
      <w:r>
        <w:t>, h</w:t>
      </w:r>
      <w:r w:rsidRPr="009B38A5">
        <w:t>ealth</w:t>
      </w:r>
      <w:r>
        <w:t>, e</w:t>
      </w:r>
      <w:r w:rsidRPr="009B38A5">
        <w:t>conomic</w:t>
      </w:r>
      <w:r>
        <w:t>, c</w:t>
      </w:r>
      <w:r w:rsidRPr="009B38A5">
        <w:t>ivic</w:t>
      </w:r>
      <w:r>
        <w:t>, c</w:t>
      </w:r>
      <w:r w:rsidRPr="009B38A5">
        <w:t>ultural</w:t>
      </w:r>
      <w:r>
        <w:t xml:space="preserve"> and s</w:t>
      </w:r>
      <w:r w:rsidRPr="009B38A5">
        <w:t>ocietal</w:t>
      </w:r>
      <w:r>
        <w:t xml:space="preserve">. Although it also points out that there are a number of implications/risks, in terms of: personal safety and </w:t>
      </w:r>
      <w:r w:rsidRPr="009B38A5">
        <w:t>privacy</w:t>
      </w:r>
      <w:r>
        <w:t>, the need to act responsibly, ethically and</w:t>
      </w:r>
      <w:r w:rsidRPr="009B38A5">
        <w:t xml:space="preserve"> legal</w:t>
      </w:r>
      <w:r>
        <w:t>ly, u</w:t>
      </w:r>
      <w:r w:rsidRPr="009B38A5">
        <w:t xml:space="preserve">nderstanding </w:t>
      </w:r>
      <w:r>
        <w:t xml:space="preserve">the nature of </w:t>
      </w:r>
      <w:r w:rsidRPr="009B38A5">
        <w:t>digital medi</w:t>
      </w:r>
      <w:r>
        <w:t>a and issues associated with i</w:t>
      </w:r>
      <w:r w:rsidRPr="009B38A5">
        <w:t>nequalities</w:t>
      </w:r>
      <w:r>
        <w:t>.</w:t>
      </w:r>
    </w:p>
    <w:p w:rsidR="009C7F84" w:rsidRDefault="009C7F84" w:rsidP="009C7F84"/>
    <w:p w:rsidR="009C7F84" w:rsidRDefault="009C7F84" w:rsidP="009C7F84">
      <w:r>
        <w:t xml:space="preserve">It is interesting to reflect on how each of </w:t>
      </w:r>
      <w:proofErr w:type="spellStart"/>
      <w:r>
        <w:t>use</w:t>
      </w:r>
      <w:proofErr w:type="spellEnd"/>
      <w:r>
        <w:t xml:space="preserve"> are using these technologies and which are core to our daily practice. Beyond email and general use of the web, there as a number of core tools I now use on a regular basis. I have been blogging now since 2007.</w:t>
      </w:r>
      <w:r>
        <w:rPr>
          <w:rStyle w:val="FootnoteReference"/>
        </w:rPr>
        <w:footnoteReference w:id="1"/>
      </w:r>
      <w:r>
        <w:t xml:space="preserve"> Blogging has become an important part of my professional practice, I blog about ideas in development, reports on conferences and project meetings, pointers to interesting research and articles and draft publications. Blogging now sits as a step towards completed publications such as articles or books, and is a good way of working up ideas and getting comments from the wider research community. I use Endnote to manage references and have bow </w:t>
      </w:r>
      <w:r>
        <w:lastRenderedPageBreak/>
        <w:t xml:space="preserve">built up a comprehensive library of references. </w:t>
      </w:r>
      <w:proofErr w:type="spellStart"/>
      <w:proofErr w:type="gramStart"/>
      <w:r>
        <w:t>Diigo</w:t>
      </w:r>
      <w:proofErr w:type="spellEnd"/>
      <w:r>
        <w:t xml:space="preserve">  and</w:t>
      </w:r>
      <w:proofErr w:type="gramEnd"/>
      <w:r>
        <w:t xml:space="preserve"> </w:t>
      </w:r>
      <w:proofErr w:type="spellStart"/>
      <w:r>
        <w:t>ScoopIt</w:t>
      </w:r>
      <w:proofErr w:type="spellEnd"/>
      <w:r>
        <w:t xml:space="preserve"> are useful as a means of keeping track of interesting links on the web. In terms of social networking I am an active user of Twitter with more than 4,000 followers. I also use </w:t>
      </w:r>
      <w:proofErr w:type="spellStart"/>
      <w:r>
        <w:t>facebook</w:t>
      </w:r>
      <w:proofErr w:type="spellEnd"/>
      <w:r>
        <w:t xml:space="preserve"> extensively, the later for more social interactions and the former for more professional activities. Clearly such tools have enormous potential, but not everyone is comfortable with blogging or participating in social networks. Indeed many have very strong views against these technologies, arguing that they are trivial and raise a host of ethical and privacy issues. </w:t>
      </w:r>
    </w:p>
    <w:p w:rsidR="009C7F84" w:rsidRDefault="009C7F84" w:rsidP="004B4816"/>
    <w:p w:rsidR="004B4816" w:rsidRDefault="004B4816" w:rsidP="004B4816">
      <w:r>
        <w:t xml:space="preserve">New social and participatory media have shifted the use of the web from an essentially static medium to one that is more participatory and interactive. </w:t>
      </w:r>
      <w:proofErr w:type="spellStart"/>
      <w:r>
        <w:t>Conole</w:t>
      </w:r>
      <w:proofErr w:type="spellEnd"/>
      <w:r>
        <w:t xml:space="preserve"> and </w:t>
      </w:r>
      <w:proofErr w:type="spellStart"/>
      <w:r>
        <w:t>Alevizou</w:t>
      </w:r>
      <w:proofErr w:type="spellEnd"/>
      <w:r>
        <w:t xml:space="preserve"> </w:t>
      </w:r>
      <w:r>
        <w:fldChar w:fldCharType="begin"/>
      </w:r>
      <w:r>
        <w:instrText xml:space="preserve"> ADDIN EN.CITE &lt;EndNote&gt;&lt;Cite ExcludeAuth="1"&gt;&lt;Author&gt;Conole&lt;/Author&gt;&lt;Year&gt;2010&lt;/Year&gt;&lt;RecNum&gt;20&lt;/RecNum&gt;&lt;DisplayText&gt;(2010)&lt;/DisplayText&gt;&lt;record&gt;&lt;rec-number&gt;20&lt;/rec-number&gt;&lt;foreign-keys&gt;&lt;key app="EN" db-id="2errrtwrme9dt5e5fpyv5pta2fzsx5vrd0zz"&gt;20&lt;/key&gt;&lt;/foreign-keys&gt;&lt;ref-type name="Electronic Article"&gt;43&lt;/ref-type&gt;&lt;contributors&gt;&lt;authors&gt;&lt;author&gt;Grainne Conole&lt;/author&gt;&lt;author&gt;Panagiota Alevizou&lt;/author&gt;&lt;/authors&gt;&lt;/contributors&gt;&lt;titles&gt;&lt;title&gt;Review of the use(s) of Web 2.0 in Higher Education&lt;/title&gt;&lt;/titles&gt;&lt;dates&gt;&lt;year&gt;2010&lt;/year&gt;&lt;/dates&gt;&lt;urls&gt;&lt;related-urls&gt;&lt;url&gt;http://cloudworks.ac.uk/cloudscape/view/1895&lt;/url&gt;&lt;/related-urls&gt;&lt;/urls&gt;&lt;/record&gt;&lt;/Cite&gt;&lt;/EndNote&gt;</w:instrText>
      </w:r>
      <w:r>
        <w:fldChar w:fldCharType="separate"/>
      </w:r>
      <w:r>
        <w:rPr>
          <w:noProof/>
        </w:rPr>
        <w:t>(</w:t>
      </w:r>
      <w:hyperlink w:anchor="_ENREF_15" w:tooltip="Conole, 2010 #20" w:history="1">
        <w:r w:rsidR="009C7F84">
          <w:rPr>
            <w:noProof/>
          </w:rPr>
          <w:t>2010</w:t>
        </w:r>
      </w:hyperlink>
      <w:r>
        <w:rPr>
          <w:noProof/>
        </w:rPr>
        <w:t>)</w:t>
      </w:r>
      <w:r>
        <w:fldChar w:fldCharType="end"/>
      </w:r>
      <w:r>
        <w:t xml:space="preserve"> carried out a review of web 2.0 technologies and identified the following types of tools: media sharing tools (such as YouTube, Flickr and </w:t>
      </w:r>
      <w:proofErr w:type="spellStart"/>
      <w:r>
        <w:t>Slideshare</w:t>
      </w:r>
      <w:proofErr w:type="spellEnd"/>
      <w:r>
        <w:t xml:space="preserve">), presentation tools (such as blogs, PowerPoint and </w:t>
      </w:r>
      <w:proofErr w:type="spellStart"/>
      <w:r>
        <w:t>Prezi</w:t>
      </w:r>
      <w:proofErr w:type="spellEnd"/>
      <w:r>
        <w:t xml:space="preserve">), messaging tools, recommendation systems, virtual worlds and games, syndication tools, social bookmarking and </w:t>
      </w:r>
      <w:proofErr w:type="spellStart"/>
      <w:r>
        <w:t>curation</w:t>
      </w:r>
      <w:proofErr w:type="spellEnd"/>
      <w:r>
        <w:t xml:space="preserve"> tools (such as delicious, </w:t>
      </w:r>
      <w:proofErr w:type="spellStart"/>
      <w:r>
        <w:t>diigo</w:t>
      </w:r>
      <w:proofErr w:type="spellEnd"/>
      <w:r>
        <w:t xml:space="preserve"> and scoop.it), social networking tools (such as Facebook and LinkedIn). Collaborative editing tools (such as wikis and </w:t>
      </w:r>
      <w:proofErr w:type="spellStart"/>
      <w:r>
        <w:t>google</w:t>
      </w:r>
      <w:proofErr w:type="spellEnd"/>
      <w:r>
        <w:t xml:space="preserve"> docs), and mash ups.</w:t>
      </w:r>
    </w:p>
    <w:p w:rsidR="004B4816" w:rsidRDefault="004B4816" w:rsidP="004B4816"/>
    <w:p w:rsidR="00495A45" w:rsidRDefault="00495A45" w:rsidP="004B4816">
      <w:r>
        <w:t xml:space="preserve">They also </w:t>
      </w:r>
      <w:proofErr w:type="spellStart"/>
      <w:r>
        <w:t>indentified</w:t>
      </w:r>
      <w:proofErr w:type="spellEnd"/>
      <w:r>
        <w:t xml:space="preserve"> a set of characteristics of these technologies, which makes them distinct from the original characteristics of the web.  These are:</w:t>
      </w:r>
    </w:p>
    <w:p w:rsidR="00495A45" w:rsidRDefault="00495A45" w:rsidP="004B4816"/>
    <w:p w:rsidR="00495A45" w:rsidRPr="00495A45" w:rsidRDefault="00495A45" w:rsidP="00495A45">
      <w:pPr>
        <w:numPr>
          <w:ilvl w:val="0"/>
          <w:numId w:val="5"/>
        </w:numPr>
        <w:ind w:hanging="425"/>
        <w:rPr>
          <w:rFonts w:ascii="Times New Roman" w:eastAsia="ヒラギノ角ゴ Pro W3" w:hAnsi="Times New Roman"/>
          <w:color w:val="000000"/>
        </w:rPr>
      </w:pPr>
      <w:r w:rsidRPr="00495A45">
        <w:rPr>
          <w:rFonts w:ascii="Times New Roman" w:eastAsia="ヒラギノ角ゴ Pro W3" w:hAnsi="Times New Roman"/>
        </w:rPr>
        <w:t xml:space="preserve">Peer critiquing – the ability to </w:t>
      </w:r>
      <w:proofErr w:type="spellStart"/>
      <w:r w:rsidRPr="00495A45">
        <w:rPr>
          <w:rFonts w:ascii="Times New Roman" w:eastAsia="ヒラギノ角ゴ Pro W3" w:hAnsi="Times New Roman"/>
        </w:rPr>
        <w:t>openingly</w:t>
      </w:r>
      <w:proofErr w:type="spellEnd"/>
      <w:r w:rsidRPr="00495A45">
        <w:rPr>
          <w:rFonts w:ascii="Times New Roman" w:eastAsia="ヒラギノ角ゴ Pro W3" w:hAnsi="Times New Roman"/>
        </w:rPr>
        <w:t xml:space="preserve"> comment on other people’s work. For example, many academics now keep research blogs and use these as a means of reflecting on their digital scholarship, development of research ideas and disseminating research and research projects. Many </w:t>
      </w:r>
      <w:proofErr w:type="gramStart"/>
      <w:r w:rsidRPr="00495A45">
        <w:rPr>
          <w:rFonts w:ascii="Times New Roman" w:eastAsia="ヒラギノ角ゴ Pro W3" w:hAnsi="Times New Roman"/>
        </w:rPr>
        <w:t>course</w:t>
      </w:r>
      <w:proofErr w:type="gramEnd"/>
      <w:r w:rsidRPr="00495A45">
        <w:rPr>
          <w:rFonts w:ascii="Times New Roman" w:eastAsia="ヒラギノ角ゴ Pro W3" w:hAnsi="Times New Roman"/>
        </w:rPr>
        <w:t xml:space="preserve"> now require students to keep blogs either as a space to reflect on their learning and consider how the course materials relate to their own professional practice or as a collective cohort blog to for example, collate relevant course materials and resources. </w:t>
      </w:r>
    </w:p>
    <w:p w:rsidR="00495A45" w:rsidRPr="00495A45" w:rsidRDefault="00495A45" w:rsidP="00495A45">
      <w:pPr>
        <w:numPr>
          <w:ilvl w:val="0"/>
          <w:numId w:val="5"/>
        </w:numPr>
        <w:ind w:hanging="425"/>
        <w:rPr>
          <w:rFonts w:ascii="Times New Roman" w:eastAsia="ヒラギノ角ゴ Pro W3" w:hAnsi="Times New Roman"/>
          <w:color w:val="000000"/>
        </w:rPr>
      </w:pPr>
      <w:r w:rsidRPr="00495A45">
        <w:rPr>
          <w:rFonts w:ascii="Times New Roman" w:eastAsia="ヒラギノ角ゴ Pro W3" w:hAnsi="Times New Roman"/>
        </w:rPr>
        <w:t>User-generated content – there are now many different tools for creating content (ranging from those which are primarily text-based, through to rich multimedia and intera</w:t>
      </w:r>
      <w:r w:rsidR="00B96A84">
        <w:rPr>
          <w:rFonts w:ascii="Times New Roman" w:eastAsia="ヒラギノ角ゴ Pro W3" w:hAnsi="Times New Roman"/>
        </w:rPr>
        <w:t>ctive tools), meaning that the w</w:t>
      </w:r>
      <w:r w:rsidRPr="00495A45">
        <w:rPr>
          <w:rFonts w:ascii="Times New Roman" w:eastAsia="ヒラギノ角ゴ Pro W3" w:hAnsi="Times New Roman"/>
        </w:rPr>
        <w:t>eb is no longer a passive media for consumption, but an active, participatory, productive media. Sites such as YouTube,</w:t>
      </w:r>
      <w:r>
        <w:rPr>
          <w:rFonts w:ascii="Times New Roman" w:eastAsia="ヒラギノ角ゴ Pro W3" w:hAnsi="Times New Roman"/>
          <w:vertAlign w:val="superscript"/>
        </w:rPr>
        <w:footnoteReference w:id="2"/>
      </w:r>
      <w:r w:rsidRPr="00495A45">
        <w:rPr>
          <w:rFonts w:ascii="Times New Roman" w:eastAsia="ヒラギノ角ゴ Pro W3" w:hAnsi="Times New Roman"/>
        </w:rPr>
        <w:t xml:space="preserve"> Flickr</w:t>
      </w:r>
      <w:r>
        <w:rPr>
          <w:rFonts w:ascii="Times New Roman" w:eastAsia="ヒラギノ角ゴ Pro W3" w:hAnsi="Times New Roman"/>
          <w:vertAlign w:val="superscript"/>
        </w:rPr>
        <w:footnoteReference w:id="3"/>
      </w:r>
      <w:r w:rsidRPr="00495A45">
        <w:rPr>
          <w:rFonts w:ascii="Times New Roman" w:eastAsia="ヒラギノ角ゴ Pro W3" w:hAnsi="Times New Roman"/>
        </w:rPr>
        <w:t xml:space="preserve"> and </w:t>
      </w:r>
      <w:proofErr w:type="spellStart"/>
      <w:r w:rsidRPr="00495A45">
        <w:rPr>
          <w:rFonts w:ascii="Times New Roman" w:eastAsia="ヒラギノ角ゴ Pro W3" w:hAnsi="Times New Roman"/>
        </w:rPr>
        <w:t>Slideshare</w:t>
      </w:r>
      <w:proofErr w:type="spellEnd"/>
      <w:r>
        <w:rPr>
          <w:rFonts w:ascii="Times New Roman" w:eastAsia="ヒラギノ角ゴ Pro W3" w:hAnsi="Times New Roman"/>
          <w:vertAlign w:val="superscript"/>
        </w:rPr>
        <w:footnoteReference w:id="4"/>
      </w:r>
      <w:r w:rsidRPr="00495A45">
        <w:rPr>
          <w:rFonts w:ascii="Times New Roman" w:eastAsia="ヒラギノ角ゴ Pro W3" w:hAnsi="Times New Roman"/>
        </w:rPr>
        <w:t xml:space="preserve"> facilitate sharing of user-generated content and the embedded code functionality means that content can be simultaneously distributed via a range of communication channels. </w:t>
      </w:r>
    </w:p>
    <w:p w:rsidR="00495A45" w:rsidRDefault="00495A45" w:rsidP="00495A45">
      <w:pPr>
        <w:numPr>
          <w:ilvl w:val="0"/>
          <w:numId w:val="5"/>
        </w:numPr>
        <w:ind w:hanging="425"/>
        <w:rPr>
          <w:rFonts w:ascii="Times New Roman" w:eastAsia="ヒラギノ角ゴ Pro W3" w:hAnsi="Times New Roman"/>
          <w:color w:val="000000"/>
        </w:rPr>
      </w:pPr>
      <w:r>
        <w:rPr>
          <w:rFonts w:ascii="Times New Roman" w:eastAsia="ヒラギノ角ゴ Pro W3" w:hAnsi="Times New Roman"/>
        </w:rPr>
        <w:t xml:space="preserve">Collective aggregation - </w:t>
      </w:r>
      <w:r w:rsidR="00B96A84">
        <w:rPr>
          <w:rFonts w:ascii="Times New Roman" w:eastAsia="ヒラギノ角ゴ Pro W3" w:hAnsi="Times New Roman"/>
        </w:rPr>
        <w:t>which</w:t>
      </w:r>
      <w:r>
        <w:rPr>
          <w:rFonts w:ascii="Times New Roman" w:eastAsia="ヒラギノ角ゴ Pro W3" w:hAnsi="Times New Roman"/>
        </w:rPr>
        <w:t xml:space="preserve"> refers both to the ways in which individuals can collate and order content to suit their individual needs and personal preferences, as well as the ways individual content can be enriched collectively by the wider community (via tagging, multiple distribution, etc.). Social bookmarking, tag clouds and associated visualisation tools, tagging, RSS feeds and embedding code all enable collective aggregation to occur. </w:t>
      </w:r>
    </w:p>
    <w:p w:rsidR="00495A45" w:rsidRDefault="00B96A84" w:rsidP="00495A45">
      <w:pPr>
        <w:numPr>
          <w:ilvl w:val="0"/>
          <w:numId w:val="5"/>
        </w:numPr>
        <w:ind w:hanging="425"/>
        <w:rPr>
          <w:rFonts w:ascii="Times New Roman" w:eastAsia="ヒラギノ角ゴ Pro W3" w:hAnsi="Times New Roman"/>
          <w:color w:val="000000"/>
        </w:rPr>
      </w:pPr>
      <w:r>
        <w:rPr>
          <w:rFonts w:ascii="Times New Roman" w:eastAsia="ヒラギノ角ゴ Pro W3" w:hAnsi="Times New Roman"/>
        </w:rPr>
        <w:t xml:space="preserve">Community formation – </w:t>
      </w:r>
      <w:r w:rsidR="00495A45">
        <w:rPr>
          <w:rFonts w:ascii="Times New Roman" w:eastAsia="ヒラギノ角ゴ Pro W3" w:hAnsi="Times New Roman"/>
        </w:rPr>
        <w:t>the connectivity and rich communicative</w:t>
      </w:r>
      <w:r>
        <w:rPr>
          <w:rFonts w:ascii="Times New Roman" w:eastAsia="ヒラギノ角ゴ Pro W3" w:hAnsi="Times New Roman"/>
        </w:rPr>
        <w:t xml:space="preserve"> channels now available on the w</w:t>
      </w:r>
      <w:r w:rsidR="00495A45">
        <w:rPr>
          <w:rFonts w:ascii="Times New Roman" w:eastAsia="ヒラギノ角ゴ Pro W3" w:hAnsi="Times New Roman"/>
        </w:rPr>
        <w:t xml:space="preserve">eb provides an environment for supporting a rich diversity of digital communities. Boundaries of professional and personal identity are eroding and the notion of tightly knit Communities of Practice </w:t>
      </w:r>
      <w:r w:rsidR="006B3F64">
        <w:rPr>
          <w:rFonts w:ascii="Times New Roman" w:eastAsia="ヒラギノ角ゴ Pro W3" w:hAnsi="Times New Roman"/>
        </w:rPr>
        <w:fldChar w:fldCharType="begin"/>
      </w:r>
      <w:r w:rsidR="006B3F64">
        <w:rPr>
          <w:rFonts w:ascii="Times New Roman" w:eastAsia="ヒラギノ角ゴ Pro W3" w:hAnsi="Times New Roman"/>
        </w:rPr>
        <w:instrText xml:space="preserve"> ADDIN EN.CITE &lt;EndNote&gt;&lt;Cite&gt;&lt;Author&gt;Wenger&lt;/Author&gt;&lt;Year&gt;1998&lt;/Year&gt;&lt;RecNum&gt;198&lt;/RecNum&gt;&lt;DisplayText&gt;(Wenger 1998)&lt;/DisplayText&gt;&lt;record&gt;&lt;rec-number&gt;198&lt;/rec-number&gt;&lt;foreign-keys&gt;&lt;key app="EN" db-id="2errrtwrme9dt5e5fpyv5pta2fzsx5vrd0zz"&gt;198&lt;/key&gt;&lt;/foreign-keys&gt;&lt;ref-type name="Book"&gt;6&lt;/ref-type&gt;&lt;contributors&gt;&lt;authors&gt;&lt;author&gt;Wenger, E.&lt;/author&gt;&lt;/authors&gt;&lt;/contributors&gt;&lt;titles&gt;&lt;title&gt;Communities of Practice. Learning, Meaning and Identity. Learning in Doing: Social, Cognitive, and Computational Perspectives&lt;/title&gt;&lt;/titles&gt;&lt;dates&gt;&lt;year&gt;1998&lt;/year&gt;&lt;/dates&gt;&lt;publisher&gt;Cambridge University Press, Cambridge&lt;/publisher&gt;&lt;urls&gt;&lt;/urls&gt;&lt;/record&gt;&lt;/Cite&gt;&lt;/EndNote&gt;</w:instrText>
      </w:r>
      <w:r w:rsidR="006B3F64">
        <w:rPr>
          <w:rFonts w:ascii="Times New Roman" w:eastAsia="ヒラギノ角ゴ Pro W3" w:hAnsi="Times New Roman"/>
        </w:rPr>
        <w:fldChar w:fldCharType="separate"/>
      </w:r>
      <w:r w:rsidR="006B3F64">
        <w:rPr>
          <w:rFonts w:ascii="Times New Roman" w:eastAsia="ヒラギノ角ゴ Pro W3" w:hAnsi="Times New Roman"/>
          <w:noProof/>
        </w:rPr>
        <w:t>(</w:t>
      </w:r>
      <w:hyperlink w:anchor="_ENREF_37" w:tooltip="Wenger, 1998 #198" w:history="1">
        <w:r w:rsidR="009C7F84">
          <w:rPr>
            <w:rFonts w:ascii="Times New Roman" w:eastAsia="ヒラギノ角ゴ Pro W3" w:hAnsi="Times New Roman"/>
            <w:noProof/>
          </w:rPr>
          <w:t>Wenger 1998</w:t>
        </w:r>
      </w:hyperlink>
      <w:r w:rsidR="006B3F64">
        <w:rPr>
          <w:rFonts w:ascii="Times New Roman" w:eastAsia="ヒラギノ角ゴ Pro W3" w:hAnsi="Times New Roman"/>
          <w:noProof/>
        </w:rPr>
        <w:t>)</w:t>
      </w:r>
      <w:r w:rsidR="006B3F64">
        <w:rPr>
          <w:rFonts w:ascii="Times New Roman" w:eastAsia="ヒラギノ角ゴ Pro W3" w:hAnsi="Times New Roman"/>
        </w:rPr>
        <w:fldChar w:fldCharType="end"/>
      </w:r>
      <w:r w:rsidR="00495A45">
        <w:rPr>
          <w:rFonts w:ascii="Times New Roman" w:eastAsia="ヒラギノ角ゴ Pro W3" w:hAnsi="Times New Roman"/>
        </w:rPr>
        <w:t xml:space="preserve"> are giving </w:t>
      </w:r>
      <w:r w:rsidR="00495A45">
        <w:rPr>
          <w:rFonts w:ascii="Times New Roman" w:eastAsia="ヒラギノ角ゴ Pro W3" w:hAnsi="Times New Roman"/>
        </w:rPr>
        <w:lastRenderedPageBreak/>
        <w:t xml:space="preserve">way to a spectrum of communities from individualistic spaces through loosely bound and often transitory collectives, through to more established and clearly defined communities. </w:t>
      </w:r>
      <w:proofErr w:type="spellStart"/>
      <w:r w:rsidR="00495A45">
        <w:rPr>
          <w:rFonts w:ascii="Times New Roman" w:eastAsia="ヒラギノ角ゴ Pro W3" w:hAnsi="Times New Roman"/>
        </w:rPr>
        <w:t>Dron</w:t>
      </w:r>
      <w:proofErr w:type="spellEnd"/>
      <w:r w:rsidR="00495A45">
        <w:rPr>
          <w:rFonts w:ascii="Times New Roman" w:eastAsia="ヒラギノ角ゴ Pro W3" w:hAnsi="Times New Roman"/>
        </w:rPr>
        <w:t xml:space="preserve"> and Anderson </w:t>
      </w:r>
      <w:r w:rsidR="006B3F64">
        <w:rPr>
          <w:rFonts w:ascii="Times New Roman" w:eastAsia="ヒラギノ角ゴ Pro W3" w:hAnsi="Times New Roman"/>
        </w:rPr>
        <w:fldChar w:fldCharType="begin"/>
      </w:r>
      <w:r w:rsidR="006B3F64">
        <w:rPr>
          <w:rFonts w:ascii="Times New Roman" w:eastAsia="ヒラギノ角ゴ Pro W3" w:hAnsi="Times New Roman"/>
        </w:rPr>
        <w:instrText xml:space="preserve"> ADDIN EN.CITE &lt;EndNote&gt;&lt;Cite ExcludeAuth="1"&gt;&lt;Author&gt;Dron&lt;/Author&gt;&lt;Year&gt;2007&lt;/Year&gt;&lt;RecNum&gt;245&lt;/RecNum&gt;&lt;DisplayText&gt;(2007)&lt;/DisplayText&gt;&lt;record&gt;&lt;rec-number&gt;245&lt;/rec-number&gt;&lt;foreign-keys&gt;&lt;key app="EN" db-id="2errrtwrme9dt5e5fpyv5pta2fzsx5vrd0zz"&gt;245&lt;/key&gt;&lt;/foreign-keys&gt;&lt;ref-type name="Generic"&gt;13&lt;/ref-type&gt;&lt;contributors&gt;&lt;authors&gt;&lt;author&gt;Dron, J.&lt;/author&gt;&lt;author&gt;Anderson, T.&lt;/author&gt;&lt;/authors&gt;&lt;/contributors&gt;&lt;titles&gt;&lt;title&gt;Collectives, networks and groups in social software for e-Learning&lt;/title&gt;&lt;secondary-title&gt;Proceedings of World Conference on E-Learning in Corporate, Government, Healthcare, and Higher Education Quebec. Retrieved Feb&lt;/secondary-title&gt;&lt;/titles&gt;&lt;pages&gt;2008&lt;/pages&gt;&lt;volume&gt;16&lt;/volume&gt;&lt;dates&gt;&lt;year&gt;2007&lt;/year&gt;&lt;/dates&gt;&lt;urls&gt;&lt;/urls&gt;&lt;/record&gt;&lt;/Cite&gt;&lt;/EndNote&gt;</w:instrText>
      </w:r>
      <w:r w:rsidR="006B3F64">
        <w:rPr>
          <w:rFonts w:ascii="Times New Roman" w:eastAsia="ヒラギノ角ゴ Pro W3" w:hAnsi="Times New Roman"/>
        </w:rPr>
        <w:fldChar w:fldCharType="separate"/>
      </w:r>
      <w:r w:rsidR="006B3F64">
        <w:rPr>
          <w:rFonts w:ascii="Times New Roman" w:eastAsia="ヒラギノ角ゴ Pro W3" w:hAnsi="Times New Roman"/>
          <w:noProof/>
        </w:rPr>
        <w:t>(</w:t>
      </w:r>
      <w:hyperlink w:anchor="_ENREF_18" w:tooltip="Dron, 2007 #245" w:history="1">
        <w:r w:rsidR="009C7F84">
          <w:rPr>
            <w:rFonts w:ascii="Times New Roman" w:eastAsia="ヒラギノ角ゴ Pro W3" w:hAnsi="Times New Roman"/>
            <w:noProof/>
          </w:rPr>
          <w:t>2007</w:t>
        </w:r>
      </w:hyperlink>
      <w:r w:rsidR="006B3F64">
        <w:rPr>
          <w:rFonts w:ascii="Times New Roman" w:eastAsia="ヒラギノ角ゴ Pro W3" w:hAnsi="Times New Roman"/>
          <w:noProof/>
        </w:rPr>
        <w:t>)</w:t>
      </w:r>
      <w:r w:rsidR="006B3F64">
        <w:rPr>
          <w:rFonts w:ascii="Times New Roman" w:eastAsia="ヒラギノ角ゴ Pro W3" w:hAnsi="Times New Roman"/>
        </w:rPr>
        <w:fldChar w:fldCharType="end"/>
      </w:r>
      <w:r w:rsidR="00495A45">
        <w:rPr>
          <w:rFonts w:ascii="Times New Roman" w:eastAsia="ヒラギノ角ゴ Pro W3" w:hAnsi="Times New Roman"/>
        </w:rPr>
        <w:t xml:space="preserve"> </w:t>
      </w:r>
      <w:r>
        <w:rPr>
          <w:rFonts w:ascii="Times New Roman" w:eastAsia="ヒラギノ角ゴ Pro W3" w:hAnsi="Times New Roman"/>
        </w:rPr>
        <w:t xml:space="preserve">identified three types of communities: </w:t>
      </w:r>
      <w:r w:rsidR="00495A45">
        <w:rPr>
          <w:rFonts w:ascii="Times New Roman" w:eastAsia="ヒラギノ角ゴ Pro W3" w:hAnsi="Times New Roman"/>
        </w:rPr>
        <w:t xml:space="preserve">collectives, networks and groups in social networking for e-learning. </w:t>
      </w:r>
    </w:p>
    <w:p w:rsidR="00495A45" w:rsidRDefault="00495A45" w:rsidP="00495A45">
      <w:pPr>
        <w:numPr>
          <w:ilvl w:val="0"/>
          <w:numId w:val="5"/>
        </w:numPr>
        <w:ind w:hanging="425"/>
        <w:rPr>
          <w:rFonts w:ascii="Times New Roman" w:eastAsia="ヒラギノ角ゴ Pro W3" w:hAnsi="Times New Roman"/>
          <w:color w:val="000000"/>
        </w:rPr>
      </w:pPr>
      <w:r>
        <w:rPr>
          <w:rFonts w:ascii="Times New Roman" w:eastAsia="ヒラギノ角ゴ Pro W3" w:hAnsi="Times New Roman"/>
        </w:rPr>
        <w:t>Digital personas – individuals need to define their digital identity and how they ‘present’ themselves across these spaces</w:t>
      </w:r>
      <w:r w:rsidR="006B3F64">
        <w:rPr>
          <w:rFonts w:ascii="Times New Roman" w:eastAsia="ヒラギノ角ゴ Pro W3" w:hAnsi="Times New Roman"/>
        </w:rPr>
        <w:t xml:space="preserve"> </w:t>
      </w:r>
      <w:r w:rsidR="006B3F64">
        <w:rPr>
          <w:rFonts w:ascii="Times New Roman" w:eastAsia="ヒラギノ角ゴ Pro W3" w:hAnsi="Times New Roman"/>
        </w:rPr>
        <w:fldChar w:fldCharType="begin"/>
      </w:r>
      <w:r w:rsidR="006B3F64">
        <w:rPr>
          <w:rFonts w:ascii="Times New Roman" w:eastAsia="ヒラギノ角ゴ Pro W3" w:hAnsi="Times New Roman"/>
        </w:rPr>
        <w:instrText xml:space="preserve"> ADDIN EN.CITE &lt;EndNote&gt;&lt;Cite&gt;&lt;Author&gt;Solove&lt;/Author&gt;&lt;Year&gt;2004&lt;/Year&gt;&lt;RecNum&gt;611&lt;/RecNum&gt;&lt;DisplayText&gt;(Solove 2004)&lt;/DisplayText&gt;&lt;record&gt;&lt;rec-number&gt;611&lt;/rec-number&gt;&lt;foreign-keys&gt;&lt;key app="EN" db-id="2errrtwrme9dt5e5fpyv5pta2fzsx5vrd0zz"&gt;611&lt;/key&gt;&lt;/foreign-keys&gt;&lt;ref-type name="Book"&gt;6&lt;/ref-type&gt;&lt;contributors&gt;&lt;authors&gt;&lt;author&gt;Solove, D.J.&lt;/author&gt;&lt;/authors&gt;&lt;/contributors&gt;&lt;titles&gt;&lt;title&gt;The digital person - technology and privacy in the information age&lt;/title&gt;&lt;/titles&gt;&lt;dates&gt;&lt;year&gt;2004&lt;/year&gt;&lt;/dates&gt;&lt;pub-location&gt;New York&lt;/pub-location&gt;&lt;publisher&gt;New University Press&lt;/publisher&gt;&lt;urls&gt;&lt;/urls&gt;&lt;/record&gt;&lt;/Cite&gt;&lt;/EndNote&gt;</w:instrText>
      </w:r>
      <w:r w:rsidR="006B3F64">
        <w:rPr>
          <w:rFonts w:ascii="Times New Roman" w:eastAsia="ヒラギノ角ゴ Pro W3" w:hAnsi="Times New Roman"/>
        </w:rPr>
        <w:fldChar w:fldCharType="separate"/>
      </w:r>
      <w:r w:rsidR="006B3F64">
        <w:rPr>
          <w:rFonts w:ascii="Times New Roman" w:eastAsia="ヒラギノ角ゴ Pro W3" w:hAnsi="Times New Roman"/>
          <w:noProof/>
        </w:rPr>
        <w:t>(</w:t>
      </w:r>
      <w:hyperlink w:anchor="_ENREF_33" w:tooltip="Solove, 2004 #611" w:history="1">
        <w:r w:rsidR="009C7F84">
          <w:rPr>
            <w:rFonts w:ascii="Times New Roman" w:eastAsia="ヒラギノ角ゴ Pro W3" w:hAnsi="Times New Roman"/>
            <w:noProof/>
          </w:rPr>
          <w:t>Solove 2004</w:t>
        </w:r>
      </w:hyperlink>
      <w:r w:rsidR="006B3F64">
        <w:rPr>
          <w:rFonts w:ascii="Times New Roman" w:eastAsia="ヒラギノ角ゴ Pro W3" w:hAnsi="Times New Roman"/>
          <w:noProof/>
        </w:rPr>
        <w:t>)</w:t>
      </w:r>
      <w:r w:rsidR="006B3F64">
        <w:rPr>
          <w:rFonts w:ascii="Times New Roman" w:eastAsia="ヒラギノ角ゴ Pro W3" w:hAnsi="Times New Roman"/>
        </w:rPr>
        <w:fldChar w:fldCharType="end"/>
      </w:r>
      <w:r>
        <w:rPr>
          <w:rFonts w:ascii="Times New Roman" w:eastAsia="ヒラギノ角ゴ Pro W3" w:hAnsi="Times New Roman"/>
        </w:rPr>
        <w:t xml:space="preserve">. The avatars we choose to represent ourselves, the style of language we use and the degree to which we are open (both professionally and personally) within these spaces, give a collective picture of how we are viewed by others. </w:t>
      </w:r>
    </w:p>
    <w:p w:rsidR="00346AF0" w:rsidRDefault="00346AF0" w:rsidP="004B4816"/>
    <w:p w:rsidR="00346AF0" w:rsidRDefault="00346AF0" w:rsidP="004B4816">
      <w:r>
        <w:t xml:space="preserve">We are seeing evidence that these characteristics are beginning to have a significant impact on practice for learning, teaching and research. </w:t>
      </w:r>
    </w:p>
    <w:p w:rsidR="00D379D4" w:rsidRDefault="00346AF0" w:rsidP="00346AF0">
      <w:pPr>
        <w:pStyle w:val="Heading1"/>
      </w:pPr>
      <w:r>
        <w:t>Aspects of openness</w:t>
      </w:r>
    </w:p>
    <w:p w:rsidR="00D379D4" w:rsidRPr="00AC0C75" w:rsidRDefault="00D379D4" w:rsidP="00D379D4">
      <w:pPr>
        <w:rPr>
          <w:rFonts w:ascii="Times New Roman" w:eastAsia="ヒラギノ角ゴ Pro W3" w:hAnsi="Times New Roman"/>
        </w:rPr>
      </w:pPr>
      <w:r>
        <w:t>This section will describe the types of open practices that are resulting from the use of social and participatory media and will consider their implications for learning, teaching and research.</w:t>
      </w:r>
      <w:r w:rsidR="00AC0C75">
        <w:t xml:space="preserve"> </w:t>
      </w:r>
      <w:proofErr w:type="spellStart"/>
      <w:r w:rsidR="00AC0C75">
        <w:t>Conole</w:t>
      </w:r>
      <w:proofErr w:type="spellEnd"/>
      <w:r w:rsidR="00AC0C75">
        <w:t xml:space="preserve"> </w:t>
      </w:r>
      <w:r w:rsidR="00AC0C75">
        <w:fldChar w:fldCharType="begin"/>
      </w:r>
      <w:r w:rsidR="00AC0C75">
        <w:instrText xml:space="preserve"> ADDIN EN.CITE &lt;EndNote&gt;&lt;Cite ExcludeAuth="1"&gt;&lt;Author&gt;Conole&lt;/Author&gt;&lt;Year&gt;Forthcoming&lt;/Year&gt;&lt;RecNum&gt;577&lt;/RecNum&gt;&lt;DisplayText&gt;(Forthcoming)&lt;/DisplayText&gt;&lt;record&gt;&lt;rec-number&gt;577&lt;/rec-number&gt;&lt;foreign-keys&gt;&lt;key app="EN" db-id="2errrtwrme9dt5e5fpyv5pta2fzsx5vrd0zz"&gt;577&lt;/key&gt;&lt;/foreign-keys&gt;&lt;ref-type name="Book Section"&gt;5&lt;/ref-type&gt;&lt;contributors&gt;&lt;authors&gt;&lt;author&gt;Conole, G.&lt;/author&gt;&lt;/authors&gt;&lt;/contributors&gt;&lt;titles&gt;&lt;title&gt;The nature of openness&lt;/title&gt;&lt;secondary-title&gt;Designing for learning in an open world&lt;/secondary-title&gt;&lt;/titles&gt;&lt;section&gt;11&lt;/section&gt;&lt;dates&gt;&lt;year&gt;Forthcoming&lt;/year&gt;&lt;/dates&gt;&lt;pub-location&gt;New York&lt;/pub-location&gt;&lt;publisher&gt;Srpinger&lt;/publisher&gt;&lt;urls&gt;&lt;/urls&gt;&lt;/record&gt;&lt;/Cite&gt;&lt;/EndNote&gt;</w:instrText>
      </w:r>
      <w:r w:rsidR="00AC0C75">
        <w:fldChar w:fldCharType="separate"/>
      </w:r>
      <w:r w:rsidR="00AC0C75">
        <w:rPr>
          <w:noProof/>
        </w:rPr>
        <w:t>(</w:t>
      </w:r>
      <w:hyperlink w:anchor="_ENREF_14" w:tooltip="Conole, Forthcoming #577" w:history="1">
        <w:r w:rsidR="009C7F84">
          <w:rPr>
            <w:noProof/>
          </w:rPr>
          <w:t>Forthcoming</w:t>
        </w:r>
      </w:hyperlink>
      <w:r w:rsidR="00AC0C75">
        <w:rPr>
          <w:noProof/>
        </w:rPr>
        <w:t>)</w:t>
      </w:r>
      <w:r w:rsidR="00AC0C75">
        <w:fldChar w:fldCharType="end"/>
      </w:r>
      <w:r>
        <w:t xml:space="preserve"> </w:t>
      </w:r>
      <w:r w:rsidR="00AC0C75">
        <w:t xml:space="preserve">argues that there are five principals associated with openness. </w:t>
      </w:r>
      <w:r w:rsidR="00AC0C75">
        <w:rPr>
          <w:rFonts w:ascii="Times New Roman" w:eastAsia="ヒラギノ角ゴ Pro W3" w:hAnsi="Times New Roman"/>
        </w:rPr>
        <w:t xml:space="preserve">Firstly, adopting more open practices will mean being ‘open’ in as broad a sense as </w:t>
      </w:r>
      <w:proofErr w:type="gramStart"/>
      <w:r w:rsidR="00AC0C75">
        <w:rPr>
          <w:rFonts w:ascii="Times New Roman" w:eastAsia="ヒラギノ角ゴ Pro W3" w:hAnsi="Times New Roman"/>
        </w:rPr>
        <w:t>possible.</w:t>
      </w:r>
      <w:proofErr w:type="gramEnd"/>
      <w:r w:rsidR="00AC0C75">
        <w:rPr>
          <w:rFonts w:ascii="Times New Roman" w:eastAsia="ヒラギノ角ゴ Pro W3" w:hAnsi="Times New Roman"/>
        </w:rPr>
        <w:t xml:space="preserve"> Secondly, it supports and enables dialogue around learning and teaching ideas and designs. Thirdly, one of the key aspects of social and participatory media is their ability to harness the power of collective aggregation, which has the potential to provide cumulative benefit for both learners and teachers. Fourthly, there are evident benefits of sharing good practice and peer critiquing, which supports good digital scholarship</w:t>
      </w:r>
      <w:r w:rsidR="00AC0C75">
        <w:rPr>
          <w:rFonts w:ascii="Times New Roman" w:eastAsia="ヒラギノ角ゴ Pro W3" w:hAnsi="Times New Roman"/>
        </w:rPr>
        <w:fldChar w:fldCharType="begin"/>
      </w:r>
      <w:r w:rsidR="00AC0C75">
        <w:rPr>
          <w:rFonts w:ascii="Times New Roman" w:eastAsia="ヒラギノ角ゴ Pro W3" w:hAnsi="Times New Roman"/>
        </w:rPr>
        <w:instrText xml:space="preserve"> ADDIN EN.CITE &lt;EndNote&gt;&lt;Cite&gt;&lt;Author&gt;Weller&lt;/Author&gt;&lt;Year&gt;2011&lt;/Year&gt;&lt;RecNum&gt;561&lt;/RecNum&gt;&lt;DisplayText&gt;(Weller 2011)&lt;/DisplayText&gt;&lt;record&gt;&lt;rec-number&gt;561&lt;/rec-number&gt;&lt;foreign-keys&gt;&lt;key app="EN" db-id="2errrtwrme9dt5e5fpyv5pta2fzsx5vrd0zz"&gt;561&lt;/key&gt;&lt;/foreign-keys&gt;&lt;ref-type name="Book"&gt;6&lt;/ref-type&gt;&lt;contributors&gt;&lt;authors&gt;&lt;author&gt;Weller, M.&lt;/author&gt;&lt;/authors&gt;&lt;/contributors&gt;&lt;titles&gt;&lt;title&gt;The digital scholar - how technology is changing academic practice&lt;/title&gt;&lt;/titles&gt;&lt;dates&gt;&lt;year&gt;2011&lt;/year&gt;&lt;/dates&gt;&lt;pub-location&gt;London&lt;/pub-location&gt;&lt;publisher&gt;Bloomsbury Academic&lt;/publisher&gt;&lt;urls&gt;&lt;/urls&gt;&lt;/record&gt;&lt;/Cite&gt;&lt;/EndNote&gt;</w:instrText>
      </w:r>
      <w:r w:rsidR="00AC0C75">
        <w:rPr>
          <w:rFonts w:ascii="Times New Roman" w:eastAsia="ヒラギノ角ゴ Pro W3" w:hAnsi="Times New Roman"/>
        </w:rPr>
        <w:fldChar w:fldCharType="separate"/>
      </w:r>
      <w:r w:rsidR="00AC0C75">
        <w:rPr>
          <w:rFonts w:ascii="Times New Roman" w:eastAsia="ヒラギノ角ゴ Pro W3" w:hAnsi="Times New Roman"/>
          <w:noProof/>
        </w:rPr>
        <w:t>(</w:t>
      </w:r>
      <w:hyperlink w:anchor="_ENREF_36" w:tooltip="Weller, 2011 #561" w:history="1">
        <w:r w:rsidR="009C7F84">
          <w:rPr>
            <w:rFonts w:ascii="Times New Roman" w:eastAsia="ヒラギノ角ゴ Pro W3" w:hAnsi="Times New Roman"/>
            <w:noProof/>
          </w:rPr>
          <w:t>Weller 2011</w:t>
        </w:r>
      </w:hyperlink>
      <w:r w:rsidR="00AC0C75">
        <w:rPr>
          <w:rFonts w:ascii="Times New Roman" w:eastAsia="ヒラギノ角ゴ Pro W3" w:hAnsi="Times New Roman"/>
          <w:noProof/>
        </w:rPr>
        <w:t>)</w:t>
      </w:r>
      <w:r w:rsidR="00AC0C75">
        <w:rPr>
          <w:rFonts w:ascii="Times New Roman" w:eastAsia="ヒラギノ角ゴ Pro W3" w:hAnsi="Times New Roman"/>
        </w:rPr>
        <w:fldChar w:fldCharType="end"/>
      </w:r>
      <w:r w:rsidR="00AC0C75">
        <w:rPr>
          <w:rFonts w:ascii="Times New Roman" w:eastAsia="ヒラギノ角ゴ Pro W3" w:hAnsi="Times New Roman"/>
        </w:rPr>
        <w:t xml:space="preserve">. Fifthly, adopting open practices will encourage serendipity, lateral thinking and new perspectives, hence fostering creativity. </w:t>
      </w:r>
    </w:p>
    <w:p w:rsidR="00D379D4" w:rsidRPr="00D379D4" w:rsidRDefault="00D379D4" w:rsidP="00D379D4">
      <w:pPr>
        <w:pStyle w:val="Heading2"/>
      </w:pPr>
      <w:r>
        <w:t>Open Educational Resources</w:t>
      </w:r>
    </w:p>
    <w:p w:rsidR="00D379D4" w:rsidRDefault="00D379D4" w:rsidP="00D379D4">
      <w:r>
        <w:t xml:space="preserve">The concept of Open Educational Resources (OER) and the associated movement have now been around for just over ten years. The vision behind them is the idea that education is a right and should be freely available. In addition, OER are seen as a means of fostering innovation in learning and teaching, by provide examples of good practice and enabling teachers to repurpose existing OER. Organisations such as UNESCO and the Hewlett foundation have been actively promoting the concept, along with funding for the development of OER repositories. There are now many OER repositories worldwide. Despite this investment, research shows that OER are not being used extensively by learners and teachers, and that they are certainly not being repurposed. As a result recent research has been exploring the notion of Open Educational Practices (OEP), i.e. investigating how OER are being created, repurposed and managed. This chapter will focus on the work that was carried out as part of the OPAL initiative, which defined the concept of OEP and identified associated dimensions of OEP, which were translated into a set of guidelines to enable individuals to benchmark their existing OER activities, along with the development of a vision and implementation plan for future work on OER. It will then broaden the discussion to consider how social and participatory media enable more open practices and what the implications of this are for learning, teaching and research. </w:t>
      </w:r>
    </w:p>
    <w:p w:rsidR="00D379D4" w:rsidRDefault="00D379D4" w:rsidP="00D379D4">
      <w:pPr>
        <w:pStyle w:val="Heading3"/>
      </w:pPr>
      <w:r>
        <w:lastRenderedPageBreak/>
        <w:t>Definitions and characteristics of OER</w:t>
      </w:r>
    </w:p>
    <w:p w:rsidR="00D379D4" w:rsidRDefault="00D379D4" w:rsidP="00D379D4">
      <w:pPr>
        <w:rPr>
          <w:rFonts w:ascii="Times New Roman" w:eastAsia="ヒラギノ角ゴ Pro W3" w:hAnsi="Times New Roman"/>
        </w:rPr>
      </w:pPr>
      <w:r>
        <w:rPr>
          <w:rFonts w:ascii="Times New Roman" w:eastAsia="ヒラギノ角ゴ Pro W3" w:hAnsi="Times New Roman"/>
        </w:rPr>
        <w:t xml:space="preserve">OECD </w:t>
      </w:r>
      <w:proofErr w:type="gramStart"/>
      <w:r>
        <w:rPr>
          <w:rFonts w:ascii="Times New Roman" w:eastAsia="ヒラギノ角ゴ Pro W3" w:hAnsi="Times New Roman"/>
        </w:rPr>
        <w:t>define</w:t>
      </w:r>
      <w:proofErr w:type="gramEnd"/>
      <w:r>
        <w:rPr>
          <w:rFonts w:ascii="Times New Roman" w:eastAsia="ヒラギノ角ゴ Pro W3" w:hAnsi="Times New Roman"/>
        </w:rPr>
        <w:t xml:space="preserve"> OER as:</w:t>
      </w:r>
    </w:p>
    <w:p w:rsidR="00D379D4" w:rsidRDefault="00D379D4" w:rsidP="00D379D4">
      <w:pPr>
        <w:rPr>
          <w:rFonts w:ascii="Times New Roman" w:eastAsia="ヒラギノ角ゴ Pro W3" w:hAnsi="Times New Roman"/>
        </w:rPr>
      </w:pPr>
    </w:p>
    <w:p w:rsidR="00D379D4" w:rsidRDefault="00D379D4" w:rsidP="00D379D4">
      <w:pPr>
        <w:ind w:left="720"/>
        <w:rPr>
          <w:rFonts w:ascii="Times New Roman" w:eastAsia="ヒラギノ角ゴ Pro W3" w:hAnsi="Times New Roman"/>
          <w:color w:val="000000"/>
        </w:rPr>
      </w:pPr>
      <w:r>
        <w:rPr>
          <w:rFonts w:ascii="Times New Roman" w:eastAsia="ヒラギノ角ゴ Pro W3" w:hAnsi="Times New Roman"/>
          <w:color w:val="000000"/>
          <w:sz w:val="22"/>
        </w:rPr>
        <w:t>Digitised materials offered freely and openly for educators, students and self- learners to use and reuse for teaching, learning and research (OECD, 2007, p. 133).</w:t>
      </w:r>
    </w:p>
    <w:p w:rsidR="00D379D4" w:rsidRDefault="00D379D4" w:rsidP="00D379D4">
      <w:pPr>
        <w:rPr>
          <w:rFonts w:ascii="Times New Roman" w:eastAsia="ヒラギノ角ゴ Pro W3" w:hAnsi="Times New Roman"/>
        </w:rPr>
      </w:pPr>
    </w:p>
    <w:p w:rsidR="00D379D4" w:rsidRDefault="00D379D4" w:rsidP="00D379D4">
      <w:pPr>
        <w:rPr>
          <w:rFonts w:ascii="Times New Roman" w:eastAsia="ヒラギノ角ゴ Pro W3" w:hAnsi="Times New Roman"/>
        </w:rPr>
      </w:pPr>
      <w:r>
        <w:rPr>
          <w:rFonts w:ascii="Times New Roman" w:eastAsia="ヒラギノ角ゴ Pro W3" w:hAnsi="Times New Roman"/>
        </w:rPr>
        <w:t xml:space="preserve">Whereas, the Hewlett </w:t>
      </w:r>
      <w:proofErr w:type="gramStart"/>
      <w:r>
        <w:rPr>
          <w:rFonts w:ascii="Times New Roman" w:eastAsia="ヒラギノ角ゴ Pro W3" w:hAnsi="Times New Roman"/>
        </w:rPr>
        <w:t>foundation define</w:t>
      </w:r>
      <w:proofErr w:type="gramEnd"/>
      <w:r>
        <w:rPr>
          <w:rFonts w:ascii="Times New Roman" w:eastAsia="ヒラギノ角ゴ Pro W3" w:hAnsi="Times New Roman"/>
        </w:rPr>
        <w:t xml:space="preserve"> them</w:t>
      </w:r>
      <w:r>
        <w:rPr>
          <w:rStyle w:val="FootnoteReference1"/>
          <w:rFonts w:ascii="Times New Roman" w:eastAsia="ヒラギノ角ゴ Pro W3" w:hAnsi="Times New Roman"/>
        </w:rPr>
        <w:footnoteReference w:id="5"/>
      </w:r>
      <w:r>
        <w:rPr>
          <w:rFonts w:ascii="Times New Roman" w:eastAsia="ヒラギノ角ゴ Pro W3" w:hAnsi="Times New Roman"/>
        </w:rPr>
        <w:t xml:space="preserve"> as:</w:t>
      </w:r>
    </w:p>
    <w:p w:rsidR="00D379D4" w:rsidRDefault="00D379D4" w:rsidP="00D379D4">
      <w:pPr>
        <w:rPr>
          <w:rFonts w:ascii="Times New Roman" w:eastAsia="ヒラギノ角ゴ Pro W3" w:hAnsi="Times New Roman"/>
        </w:rPr>
      </w:pPr>
    </w:p>
    <w:p w:rsidR="00D379D4" w:rsidRDefault="00D379D4" w:rsidP="00D379D4">
      <w:pPr>
        <w:ind w:left="720"/>
        <w:rPr>
          <w:rFonts w:ascii="Times New Roman" w:eastAsia="ヒラギノ角ゴ Pro W3" w:hAnsi="Times New Roman"/>
          <w:color w:val="000000"/>
        </w:rPr>
      </w:pPr>
      <w:r>
        <w:rPr>
          <w:rFonts w:ascii="Times New Roman" w:eastAsia="ヒラギノ角ゴ Pro W3" w:hAnsi="Times New Roman"/>
          <w:color w:val="000000"/>
          <w:sz w:val="22"/>
        </w:rPr>
        <w:t>Teaching, learning, and research resources that reside in the public domain or have been released under an intellectual property license that permits their free use or re-purposing by others.</w:t>
      </w:r>
    </w:p>
    <w:p w:rsidR="00D379D4" w:rsidRDefault="00D379D4" w:rsidP="00D379D4">
      <w:pPr>
        <w:pStyle w:val="BodyText"/>
        <w:jc w:val="left"/>
        <w:rPr>
          <w:rFonts w:ascii="Times New Roman" w:hAnsi="Times New Roman"/>
          <w:sz w:val="24"/>
          <w:lang w:val="en-US"/>
        </w:rPr>
      </w:pPr>
    </w:p>
    <w:p w:rsidR="00D379D4" w:rsidRDefault="00D379D4" w:rsidP="00D379D4">
      <w:pPr>
        <w:pStyle w:val="BodyText"/>
        <w:jc w:val="left"/>
        <w:rPr>
          <w:rFonts w:ascii="Times New Roman" w:hAnsi="Times New Roman"/>
          <w:sz w:val="24"/>
          <w:lang w:val="en-US"/>
        </w:rPr>
      </w:pPr>
      <w:r>
        <w:rPr>
          <w:rFonts w:ascii="Times New Roman" w:hAnsi="Times New Roman"/>
          <w:sz w:val="24"/>
          <w:lang w:val="en-US"/>
        </w:rPr>
        <w:t>The Cape Town Open Education Declaration bought together international OER experts to clarify the nature of the OER movement and to create a vision for the future.</w:t>
      </w:r>
      <w:r>
        <w:rPr>
          <w:rStyle w:val="FootnoteReference1"/>
          <w:rFonts w:ascii="Times New Roman" w:hAnsi="Times New Roman"/>
          <w:lang w:val="en-US"/>
        </w:rPr>
        <w:footnoteReference w:id="6"/>
      </w:r>
      <w:r>
        <w:rPr>
          <w:rFonts w:ascii="Times New Roman" w:hAnsi="Times New Roman"/>
          <w:sz w:val="24"/>
          <w:lang w:val="en-US"/>
        </w:rPr>
        <w:t xml:space="preserve"> In particular it argues that the OER movement is based on: </w:t>
      </w:r>
    </w:p>
    <w:p w:rsidR="00D379D4" w:rsidRDefault="00D379D4" w:rsidP="00D379D4">
      <w:pPr>
        <w:pStyle w:val="BodyText"/>
        <w:ind w:left="720"/>
        <w:jc w:val="left"/>
        <w:rPr>
          <w:rFonts w:ascii="Times New Roman" w:hAnsi="Times New Roman"/>
          <w:lang w:val="en-US"/>
        </w:rPr>
      </w:pPr>
      <w:r>
        <w:rPr>
          <w:rFonts w:ascii="Times New Roman" w:hAnsi="Times New Roman"/>
          <w:lang w:val="en-US"/>
        </w:rPr>
        <w:t xml:space="preserve">The </w:t>
      </w:r>
      <w:proofErr w:type="gramStart"/>
      <w:r>
        <w:rPr>
          <w:rFonts w:ascii="Times New Roman" w:hAnsi="Times New Roman"/>
          <w:lang w:val="en-US"/>
        </w:rPr>
        <w:t>belief that everyone should have the freedom to use, customize</w:t>
      </w:r>
      <w:proofErr w:type="gramEnd"/>
      <w:r>
        <w:rPr>
          <w:rFonts w:ascii="Times New Roman" w:hAnsi="Times New Roman"/>
          <w:lang w:val="en-US"/>
        </w:rPr>
        <w:t>, improve and redistribute educational resources without constraint.</w:t>
      </w:r>
    </w:p>
    <w:p w:rsidR="00D379D4" w:rsidRPr="004B4816" w:rsidRDefault="00D379D4" w:rsidP="00D379D4">
      <w:pPr>
        <w:spacing w:before="120"/>
        <w:rPr>
          <w:rStyle w:val="gti-matchgti-match-paragraphgti-match-paragraph-9"/>
          <w:rFonts w:ascii="Times New Roman" w:eastAsia="ヒラギノ角ゴ Pro W3" w:hAnsi="Times New Roman"/>
        </w:rPr>
      </w:pPr>
      <w:r>
        <w:rPr>
          <w:rFonts w:ascii="Times New Roman" w:eastAsia="ヒラギノ角ゴ Pro W3" w:hAnsi="Times New Roman"/>
        </w:rPr>
        <w:t xml:space="preserve">The main characteristics of OER are: free access to resources ‘enabled by information and communication technologies’ and with a clear ‘non-commercial purpose” (UNESCO 2002, p.24). OER are intended to make ‘high-quality educational material freely available worldwide in many languages’ (Keller and </w:t>
      </w:r>
      <w:proofErr w:type="spellStart"/>
      <w:r>
        <w:rPr>
          <w:rFonts w:ascii="Times New Roman" w:eastAsia="ヒラギノ角ゴ Pro W3" w:hAnsi="Times New Roman"/>
        </w:rPr>
        <w:t>Mossink</w:t>
      </w:r>
      <w:proofErr w:type="spellEnd"/>
      <w:r>
        <w:rPr>
          <w:rFonts w:ascii="Times New Roman" w:eastAsia="ヒラギノ角ゴ Pro W3" w:hAnsi="Times New Roman"/>
        </w:rPr>
        <w:t>, 2009).</w:t>
      </w:r>
    </w:p>
    <w:p w:rsidR="00D379D4" w:rsidRPr="004B4816" w:rsidRDefault="00D379D4" w:rsidP="00D379D4">
      <w:pPr>
        <w:spacing w:before="120"/>
        <w:rPr>
          <w:rFonts w:ascii="Times New Roman" w:hAnsi="Times New Roman"/>
          <w:color w:val="000000"/>
          <w:szCs w:val="14"/>
        </w:rPr>
      </w:pPr>
      <w:r>
        <w:rPr>
          <w:rStyle w:val="gti-matchgti-match-paragraphgti-match-paragraph-9"/>
          <w:rFonts w:ascii="Times New Roman" w:hAnsi="Times New Roman"/>
          <w:color w:val="000000"/>
          <w:szCs w:val="14"/>
        </w:rPr>
        <w:t>The OLCOS Roadmap identified</w:t>
      </w:r>
      <w:r w:rsidRPr="008B7F9A">
        <w:rPr>
          <w:rStyle w:val="gti-matchgti-match-paragraphgti-match-paragraph-9"/>
          <w:rFonts w:ascii="Times New Roman" w:hAnsi="Times New Roman"/>
          <w:color w:val="000000"/>
          <w:szCs w:val="14"/>
        </w:rPr>
        <w:t xml:space="preserve"> three core attributes</w:t>
      </w:r>
      <w:r>
        <w:rPr>
          <w:rStyle w:val="gti-matchgti-match-paragraphgti-match-paragraph-9"/>
          <w:rFonts w:ascii="Times New Roman" w:hAnsi="Times New Roman"/>
          <w:color w:val="000000"/>
          <w:szCs w:val="14"/>
        </w:rPr>
        <w:t xml:space="preserve"> of OER. Firstly, that </w:t>
      </w:r>
      <w:r w:rsidRPr="008B7F9A">
        <w:rPr>
          <w:rStyle w:val="gti-matchgti-match-paragraphgti-match-paragraph-10"/>
          <w:rFonts w:ascii="Times New Roman" w:hAnsi="Times New Roman"/>
          <w:color w:val="000000"/>
          <w:szCs w:val="14"/>
        </w:rPr>
        <w:t>access to open content (including metadata) is provided free of charge for educational institutions, content services, and the end-users such as teachers, students and lifelong learners</w:t>
      </w:r>
      <w:r>
        <w:rPr>
          <w:rStyle w:val="gti-matchgti-match-paragraphgti-match-paragraph-10"/>
          <w:rFonts w:ascii="Times New Roman" w:hAnsi="Times New Roman"/>
          <w:color w:val="000000"/>
          <w:szCs w:val="14"/>
        </w:rPr>
        <w:t xml:space="preserve">. Secondly, </w:t>
      </w:r>
      <w:r w:rsidRPr="008B7F9A">
        <w:rPr>
          <w:rStyle w:val="gti-matchgti-match-paragraphgti-match-paragraph-11"/>
          <w:rFonts w:ascii="Times New Roman" w:hAnsi="Times New Roman"/>
          <w:color w:val="000000"/>
          <w:szCs w:val="14"/>
        </w:rPr>
        <w:t>that the content is licensed for re-use in educational activities, favourably</w:t>
      </w:r>
      <w:r>
        <w:rPr>
          <w:rStyle w:val="google-translation-immersion-inner-word-wrap"/>
          <w:rFonts w:ascii="Times New Roman" w:hAnsi="Times New Roman"/>
          <w:color w:val="000000"/>
          <w:szCs w:val="14"/>
          <w:shd w:val="clear" w:color="auto" w:fill="EDF7FF"/>
        </w:rPr>
        <w:t>, without restrictions</w:t>
      </w:r>
      <w:r w:rsidRPr="008B7F9A">
        <w:rPr>
          <w:rStyle w:val="google-translation-immersion-inner-word-wrap"/>
          <w:rFonts w:ascii="Times New Roman" w:hAnsi="Times New Roman"/>
          <w:color w:val="000000"/>
          <w:szCs w:val="14"/>
          <w:shd w:val="clear" w:color="auto" w:fill="EDF7FF"/>
        </w:rPr>
        <w:t>,</w:t>
      </w:r>
      <w:r w:rsidRPr="008B7F9A">
        <w:rPr>
          <w:rStyle w:val="apple-converted-space"/>
          <w:rFonts w:ascii="Times New Roman" w:hAnsi="Times New Roman"/>
          <w:color w:val="000000"/>
          <w:szCs w:val="14"/>
        </w:rPr>
        <w:t> </w:t>
      </w:r>
      <w:r w:rsidRPr="008B7F9A">
        <w:rPr>
          <w:rStyle w:val="gti-matchgti-match-paragraphgti-match-paragraph-11"/>
          <w:rFonts w:ascii="Times New Roman" w:hAnsi="Times New Roman"/>
          <w:color w:val="000000"/>
          <w:szCs w:val="14"/>
        </w:rPr>
        <w:t>to modify, combine and repurpose the content; consequently, that the content</w:t>
      </w:r>
      <w:r w:rsidRPr="008B7F9A">
        <w:rPr>
          <w:rStyle w:val="apple-converted-space"/>
          <w:rFonts w:ascii="Times New Roman" w:hAnsi="Times New Roman"/>
          <w:color w:val="000000"/>
          <w:szCs w:val="14"/>
        </w:rPr>
        <w:t> </w:t>
      </w:r>
      <w:r>
        <w:rPr>
          <w:rStyle w:val="google-translation-immersion-inner-word-wrap"/>
          <w:rFonts w:ascii="Times New Roman" w:hAnsi="Times New Roman"/>
          <w:color w:val="000000"/>
          <w:szCs w:val="14"/>
          <w:shd w:val="clear" w:color="auto" w:fill="EDF7FF"/>
        </w:rPr>
        <w:t xml:space="preserve">should be designed </w:t>
      </w:r>
      <w:r w:rsidRPr="008B7F9A">
        <w:rPr>
          <w:rStyle w:val="gti-matchgti-match-paragraphgti-match-paragraph-11"/>
          <w:rFonts w:ascii="Times New Roman" w:hAnsi="Times New Roman"/>
          <w:color w:val="000000"/>
          <w:szCs w:val="14"/>
        </w:rPr>
        <w:t>for easy re-use in that</w:t>
      </w:r>
      <w:r>
        <w:rPr>
          <w:rStyle w:val="gti-matchgti-match-paragraphgti-match-paragraph-11"/>
          <w:rFonts w:ascii="Times New Roman" w:hAnsi="Times New Roman"/>
          <w:color w:val="000000"/>
          <w:szCs w:val="14"/>
        </w:rPr>
        <w:t xml:space="preserve"> open content</w:t>
      </w:r>
      <w:r w:rsidRPr="008B7F9A">
        <w:rPr>
          <w:rStyle w:val="apple-converted-space"/>
          <w:rFonts w:ascii="Times New Roman" w:hAnsi="Times New Roman"/>
          <w:color w:val="000000"/>
          <w:szCs w:val="14"/>
        </w:rPr>
        <w:t> </w:t>
      </w:r>
      <w:r w:rsidRPr="008B7F9A">
        <w:rPr>
          <w:rStyle w:val="gti-matchgti-match-paragraphgti-match-paragraph-11"/>
          <w:rFonts w:ascii="Times New Roman" w:hAnsi="Times New Roman"/>
          <w:color w:val="000000"/>
          <w:szCs w:val="14"/>
        </w:rPr>
        <w:t>standards and formats</w:t>
      </w:r>
      <w:r w:rsidRPr="008B7F9A">
        <w:rPr>
          <w:rStyle w:val="apple-converted-space"/>
          <w:rFonts w:ascii="Times New Roman" w:hAnsi="Times New Roman"/>
          <w:color w:val="000000"/>
          <w:szCs w:val="14"/>
        </w:rPr>
        <w:t> </w:t>
      </w:r>
      <w:r>
        <w:rPr>
          <w:rStyle w:val="google-translation-immersion-inner-word-wrap"/>
          <w:rFonts w:ascii="Times New Roman" w:hAnsi="Times New Roman"/>
          <w:color w:val="000000"/>
          <w:szCs w:val="14"/>
          <w:shd w:val="clear" w:color="auto" w:fill="EDF7FF"/>
        </w:rPr>
        <w:t>should be</w:t>
      </w:r>
      <w:r w:rsidRPr="008B7F9A">
        <w:rPr>
          <w:rStyle w:val="apple-converted-space"/>
          <w:rFonts w:ascii="Times New Roman" w:hAnsi="Times New Roman"/>
          <w:color w:val="000000"/>
          <w:szCs w:val="14"/>
        </w:rPr>
        <w:t> </w:t>
      </w:r>
      <w:r w:rsidRPr="008B7F9A">
        <w:rPr>
          <w:rStyle w:val="gti-matchgti-match-paragraphgti-match-paragraph-11"/>
          <w:rFonts w:ascii="Times New Roman" w:hAnsi="Times New Roman"/>
          <w:color w:val="000000"/>
          <w:szCs w:val="14"/>
        </w:rPr>
        <w:t>employed</w:t>
      </w:r>
      <w:r>
        <w:rPr>
          <w:rStyle w:val="gti-matchgti-match-paragraphgti-match-paragraph-11"/>
          <w:rFonts w:ascii="Times New Roman" w:hAnsi="Times New Roman"/>
          <w:color w:val="000000"/>
          <w:szCs w:val="14"/>
        </w:rPr>
        <w:t>. Thirdly, t</w:t>
      </w:r>
      <w:r w:rsidRPr="008B7F9A">
        <w:rPr>
          <w:rStyle w:val="gti-matchgti-match-paragraphgti-match-paragraph-12"/>
          <w:rFonts w:ascii="Times New Roman" w:hAnsi="Times New Roman"/>
          <w:color w:val="000000"/>
          <w:szCs w:val="14"/>
        </w:rPr>
        <w:t xml:space="preserve">hat </w:t>
      </w:r>
      <w:r>
        <w:rPr>
          <w:rStyle w:val="gti-matchgti-match-paragraphgti-match-paragraph-12"/>
          <w:rFonts w:ascii="Times New Roman" w:hAnsi="Times New Roman"/>
          <w:color w:val="000000"/>
          <w:szCs w:val="14"/>
        </w:rPr>
        <w:t xml:space="preserve">open source </w:t>
      </w:r>
      <w:r w:rsidRPr="008B7F9A">
        <w:rPr>
          <w:rStyle w:val="gti-matchgti-match-paragraphgti-match-paragraph-12"/>
          <w:rFonts w:ascii="Times New Roman" w:hAnsi="Times New Roman"/>
          <w:color w:val="000000"/>
          <w:szCs w:val="14"/>
        </w:rPr>
        <w:t xml:space="preserve">systems/tools software </w:t>
      </w:r>
      <w:r>
        <w:rPr>
          <w:rStyle w:val="gti-matchgti-match-paragraphgti-match-paragraph-12"/>
          <w:rFonts w:ascii="Times New Roman" w:hAnsi="Times New Roman"/>
          <w:color w:val="000000"/>
          <w:szCs w:val="14"/>
        </w:rPr>
        <w:t>should be used, along with</w:t>
      </w:r>
      <w:r w:rsidRPr="008B7F9A">
        <w:rPr>
          <w:rFonts w:ascii="Times New Roman" w:hAnsi="Times New Roman"/>
          <w:color w:val="000000"/>
          <w:szCs w:val="14"/>
        </w:rPr>
        <w:t xml:space="preserve"> open</w:t>
      </w:r>
      <w:r w:rsidRPr="008B7F9A">
        <w:rPr>
          <w:rStyle w:val="apple-converted-space"/>
          <w:rFonts w:ascii="Times New Roman" w:hAnsi="Times New Roman"/>
          <w:color w:val="000000"/>
          <w:szCs w:val="14"/>
        </w:rPr>
        <w:t> </w:t>
      </w:r>
      <w:r>
        <w:rPr>
          <w:rStyle w:val="apple-converted-space"/>
          <w:rFonts w:ascii="Times New Roman" w:hAnsi="Times New Roman"/>
          <w:color w:val="000000"/>
          <w:szCs w:val="14"/>
        </w:rPr>
        <w:t xml:space="preserve">Application Programming </w:t>
      </w:r>
      <w:proofErr w:type="spellStart"/>
      <w:r>
        <w:rPr>
          <w:rStyle w:val="apple-converted-space"/>
          <w:rFonts w:ascii="Times New Roman" w:hAnsi="Times New Roman"/>
          <w:color w:val="000000"/>
          <w:szCs w:val="14"/>
        </w:rPr>
        <w:t>Intefaces</w:t>
      </w:r>
      <w:proofErr w:type="spellEnd"/>
      <w:r>
        <w:rPr>
          <w:rStyle w:val="apple-converted-space"/>
          <w:rFonts w:ascii="Times New Roman" w:hAnsi="Times New Roman"/>
          <w:color w:val="000000"/>
          <w:szCs w:val="14"/>
        </w:rPr>
        <w:t xml:space="preserve"> (APIs). </w:t>
      </w:r>
    </w:p>
    <w:p w:rsidR="00D379D4" w:rsidRDefault="00D379D4" w:rsidP="00D379D4">
      <w:pPr>
        <w:pStyle w:val="Heading3"/>
      </w:pPr>
      <w:r>
        <w:t>The OPAL initiative</w:t>
      </w:r>
    </w:p>
    <w:p w:rsidR="00D379D4" w:rsidRDefault="00D379D4" w:rsidP="00D379D4">
      <w:pPr>
        <w:rPr>
          <w:rFonts w:ascii="Times New Roman" w:hAnsi="Times New Roman" w:cstheme="minorHAnsi"/>
        </w:rPr>
      </w:pPr>
      <w:r>
        <w:rPr>
          <w:rFonts w:ascii="Times New Roman" w:hAnsi="Times New Roman" w:cstheme="minorHAnsi"/>
        </w:rPr>
        <w:t>T</w:t>
      </w:r>
      <w:r w:rsidRPr="00AD5FBE">
        <w:rPr>
          <w:rFonts w:ascii="Times New Roman" w:hAnsi="Times New Roman" w:cstheme="minorHAnsi"/>
        </w:rPr>
        <w:t xml:space="preserve">he </w:t>
      </w:r>
      <w:r w:rsidRPr="0010792E">
        <w:rPr>
          <w:rFonts w:ascii="Times New Roman" w:hAnsi="Times New Roman" w:cstheme="minorHAnsi"/>
        </w:rPr>
        <w:t>International Council for Open and Distance Education</w:t>
      </w:r>
      <w:r w:rsidRPr="00AD5FBE">
        <w:rPr>
          <w:rFonts w:ascii="Times New Roman" w:hAnsi="Times New Roman" w:cstheme="minorHAnsi"/>
        </w:rPr>
        <w:t xml:space="preserve"> </w:t>
      </w:r>
      <w:r>
        <w:rPr>
          <w:rFonts w:ascii="Times New Roman" w:hAnsi="Times New Roman" w:cstheme="minorHAnsi"/>
        </w:rPr>
        <w:t>(</w:t>
      </w:r>
      <w:r w:rsidRPr="00AD5FBE">
        <w:rPr>
          <w:rFonts w:ascii="Times New Roman" w:hAnsi="Times New Roman" w:cstheme="minorHAnsi"/>
        </w:rPr>
        <w:t>ICDE</w:t>
      </w:r>
      <w:r>
        <w:rPr>
          <w:rFonts w:ascii="Times New Roman" w:hAnsi="Times New Roman" w:cstheme="minorHAnsi"/>
        </w:rPr>
        <w:t>)</w:t>
      </w:r>
      <w:r w:rsidRPr="00AD5FBE">
        <w:rPr>
          <w:rFonts w:ascii="Times New Roman" w:hAnsi="Times New Roman" w:cstheme="minorHAnsi"/>
        </w:rPr>
        <w:t xml:space="preserve"> </w:t>
      </w:r>
      <w:r>
        <w:rPr>
          <w:rFonts w:ascii="Times New Roman" w:hAnsi="Times New Roman" w:cstheme="minorHAnsi"/>
        </w:rPr>
        <w:t xml:space="preserve">define Open Educational Practices (OEP) </w:t>
      </w:r>
      <w:r w:rsidRPr="00AD5FBE">
        <w:rPr>
          <w:rFonts w:ascii="Times New Roman" w:hAnsi="Times New Roman" w:cstheme="minorHAnsi"/>
        </w:rPr>
        <w:t>as</w:t>
      </w:r>
      <w:r>
        <w:rPr>
          <w:rFonts w:ascii="Times New Roman" w:hAnsi="Times New Roman" w:cstheme="minorHAnsi"/>
        </w:rPr>
        <w:t>:</w:t>
      </w:r>
    </w:p>
    <w:p w:rsidR="00D379D4" w:rsidRDefault="00D379D4" w:rsidP="00D379D4">
      <w:pPr>
        <w:rPr>
          <w:rFonts w:ascii="Times New Roman" w:hAnsi="Times New Roman" w:cstheme="minorHAnsi"/>
        </w:rPr>
      </w:pPr>
    </w:p>
    <w:p w:rsidR="00D379D4" w:rsidRDefault="00D379D4" w:rsidP="00D379D4">
      <w:pPr>
        <w:ind w:left="720"/>
        <w:rPr>
          <w:rFonts w:ascii="Times New Roman" w:hAnsi="Times New Roman" w:cstheme="minorHAnsi"/>
          <w:szCs w:val="20"/>
        </w:rPr>
      </w:pPr>
      <w:r>
        <w:rPr>
          <w:rFonts w:ascii="Times New Roman" w:eastAsia="Times New Roman" w:hAnsi="Times New Roman" w:cstheme="minorHAnsi"/>
          <w:szCs w:val="20"/>
        </w:rPr>
        <w:t>P</w:t>
      </w:r>
      <w:r w:rsidRPr="00AD5FBE">
        <w:rPr>
          <w:rFonts w:ascii="Times New Roman" w:eastAsia="Times New Roman" w:hAnsi="Times New Roman" w:cstheme="minorHAnsi"/>
          <w:szCs w:val="20"/>
        </w:rPr>
        <w:t>ractices which support the production, use and reuse of high quality open educational resources (OER) through institutional policies, which promote innovative pedagogical models, and respect and empower learners as co-producers on their lifelong learning path. OEP address the whole OER governance community: policy makers, managers and administrators of organisations, educational professionals and learners.</w:t>
      </w:r>
      <w:r w:rsidRPr="00AD5FBE">
        <w:rPr>
          <w:rStyle w:val="EndnoteReference"/>
          <w:rFonts w:ascii="Times New Roman" w:eastAsia="Times New Roman" w:hAnsi="Times New Roman" w:cstheme="minorHAnsi"/>
          <w:szCs w:val="20"/>
        </w:rPr>
        <w:endnoteReference w:id="1"/>
      </w:r>
    </w:p>
    <w:p w:rsidR="00D379D4" w:rsidRDefault="00D379D4" w:rsidP="00D379D4"/>
    <w:p w:rsidR="00D379D4" w:rsidRDefault="00D379D4" w:rsidP="00D379D4">
      <w:r>
        <w:t>The OPAL initiative analysed 60 case studies of OER initiatives and from these extracted a set of OEP dimensions. Initially eight were identified, which were:</w:t>
      </w:r>
    </w:p>
    <w:p w:rsidR="00D379D4" w:rsidRDefault="00D379D4" w:rsidP="00D379D4"/>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hAnsi="Times New Roman" w:cstheme="minorHAnsi"/>
          <w:sz w:val="24"/>
        </w:rPr>
        <w:lastRenderedPageBreak/>
        <w:t>S</w:t>
      </w:r>
      <w:r w:rsidRPr="00AD5FBE">
        <w:rPr>
          <w:rFonts w:ascii="Times New Roman" w:hAnsi="Times New Roman" w:cstheme="minorHAnsi"/>
          <w:sz w:val="24"/>
        </w:rPr>
        <w:t>trategy and policy in the use of OER</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hAnsi="Times New Roman" w:cstheme="minorHAnsi"/>
          <w:sz w:val="24"/>
        </w:rPr>
        <w:t>B</w:t>
      </w:r>
      <w:r w:rsidRPr="00AD5FBE">
        <w:rPr>
          <w:rFonts w:ascii="Times New Roman" w:hAnsi="Times New Roman" w:cstheme="minorHAnsi"/>
          <w:sz w:val="24"/>
        </w:rPr>
        <w:t xml:space="preserve">arriers and enablers (success factors) </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hAnsi="Times New Roman" w:cstheme="minorHAnsi"/>
          <w:sz w:val="24"/>
        </w:rPr>
        <w:t>T</w:t>
      </w:r>
      <w:r w:rsidRPr="00AD5FBE">
        <w:rPr>
          <w:rFonts w:ascii="Times New Roman" w:hAnsi="Times New Roman" w:cstheme="minorHAnsi"/>
          <w:sz w:val="24"/>
        </w:rPr>
        <w:t>ools and tool practices</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hAnsi="Times New Roman" w:cstheme="minorHAnsi"/>
          <w:sz w:val="24"/>
        </w:rPr>
        <w:t>I</w:t>
      </w:r>
      <w:r w:rsidRPr="00AD5FBE">
        <w:rPr>
          <w:rFonts w:ascii="Times New Roman" w:hAnsi="Times New Roman" w:cstheme="minorHAnsi"/>
          <w:sz w:val="24"/>
        </w:rPr>
        <w:t>nnovations</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Q</w:t>
      </w:r>
      <w:r w:rsidRPr="00AD5FBE">
        <w:rPr>
          <w:rFonts w:ascii="Times New Roman" w:eastAsia="ヒラギノ角ゴ Pro W3" w:hAnsi="Times New Roman" w:cstheme="minorHAnsi"/>
          <w:sz w:val="24"/>
        </w:rPr>
        <w:t>uality assurance models</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P</w:t>
      </w:r>
      <w:r w:rsidRPr="00AD5FBE">
        <w:rPr>
          <w:rFonts w:ascii="Times New Roman" w:eastAsia="ヒラギノ角ゴ Pro W3" w:hAnsi="Times New Roman" w:cstheme="minorHAnsi"/>
          <w:sz w:val="24"/>
        </w:rPr>
        <w:t>artnership models</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S</w:t>
      </w:r>
      <w:r w:rsidRPr="00AD5FBE">
        <w:rPr>
          <w:rFonts w:ascii="Times New Roman" w:eastAsia="ヒラギノ角ゴ Pro W3" w:hAnsi="Times New Roman" w:cstheme="minorHAnsi"/>
          <w:sz w:val="24"/>
        </w:rPr>
        <w:t>kills development and support</w:t>
      </w:r>
    </w:p>
    <w:p w:rsidR="00D379D4" w:rsidRDefault="00D379D4" w:rsidP="00D379D4">
      <w:pPr>
        <w:pStyle w:val="ListParagraph"/>
        <w:numPr>
          <w:ilvl w:val="0"/>
          <w:numId w:val="1"/>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color w:val="000000"/>
          <w:sz w:val="24"/>
        </w:rPr>
        <w:t>B</w:t>
      </w:r>
      <w:r w:rsidRPr="00AD5FBE">
        <w:rPr>
          <w:rFonts w:ascii="Times New Roman" w:eastAsia="ヒラギノ角ゴ Pro W3" w:hAnsi="Times New Roman" w:cstheme="minorHAnsi"/>
          <w:sz w:val="24"/>
        </w:rPr>
        <w:t>usiness mo</w:t>
      </w:r>
      <w:r>
        <w:rPr>
          <w:rFonts w:ascii="Times New Roman" w:eastAsia="ヒラギノ角ゴ Pro W3" w:hAnsi="Times New Roman" w:cstheme="minorHAnsi"/>
          <w:sz w:val="24"/>
        </w:rPr>
        <w:t>dels/sustainability strategies</w:t>
      </w:r>
    </w:p>
    <w:p w:rsidR="00D379D4" w:rsidRDefault="00D379D4" w:rsidP="00D379D4">
      <w:pPr>
        <w:rPr>
          <w:rFonts w:ascii="Times New Roman" w:eastAsia="ヒラギノ角ゴ Pro W3" w:hAnsi="Times New Roman" w:cstheme="minorHAnsi"/>
        </w:rPr>
      </w:pPr>
    </w:p>
    <w:p w:rsidR="00D379D4" w:rsidRDefault="00D379D4" w:rsidP="00D379D4">
      <w:pPr>
        <w:rPr>
          <w:rFonts w:ascii="Times New Roman" w:eastAsia="ヒラギノ角ゴ Pro W3" w:hAnsi="Times New Roman" w:cstheme="minorHAnsi"/>
        </w:rPr>
      </w:pPr>
      <w:r>
        <w:rPr>
          <w:rFonts w:ascii="Times New Roman" w:eastAsia="ヒラギノ角ゴ Pro W3" w:hAnsi="Times New Roman" w:cstheme="minorHAnsi"/>
        </w:rPr>
        <w:t xml:space="preserve">Four target </w:t>
      </w:r>
      <w:r w:rsidRPr="00AD5FBE">
        <w:rPr>
          <w:rFonts w:ascii="Times New Roman" w:eastAsia="ヒラギノ角ゴ Pro W3" w:hAnsi="Times New Roman" w:cstheme="minorHAnsi"/>
        </w:rPr>
        <w:t>stakeholder groups</w:t>
      </w:r>
      <w:r>
        <w:rPr>
          <w:rFonts w:ascii="Times New Roman" w:eastAsia="ヒラギノ角ゴ Pro W3" w:hAnsi="Times New Roman" w:cstheme="minorHAnsi"/>
        </w:rPr>
        <w:t xml:space="preserve"> were also identified: learners, teachers, institutional managers and policy makers. </w:t>
      </w:r>
      <w:r w:rsidRPr="00AD5FBE">
        <w:rPr>
          <w:rFonts w:ascii="Times New Roman" w:eastAsia="ヒラギノ角ゴ Pro W3" w:hAnsi="Times New Roman" w:cstheme="minorHAnsi"/>
        </w:rPr>
        <w:t xml:space="preserve">The dimensions were validated through an extensive consultation process, </w:t>
      </w:r>
      <w:r>
        <w:rPr>
          <w:rFonts w:ascii="Times New Roman" w:eastAsia="ヒラギノ角ゴ Pro W3" w:hAnsi="Times New Roman" w:cstheme="minorHAnsi"/>
        </w:rPr>
        <w:t>via</w:t>
      </w:r>
      <w:r w:rsidRPr="00AD5FBE">
        <w:rPr>
          <w:rFonts w:ascii="Times New Roman" w:eastAsia="ヒラギノ角ゴ Pro W3" w:hAnsi="Times New Roman" w:cstheme="minorHAnsi"/>
        </w:rPr>
        <w:t xml:space="preserve"> a series of real and virtual events</w:t>
      </w:r>
      <w:r>
        <w:rPr>
          <w:rFonts w:ascii="Times New Roman" w:eastAsia="ヒラギノ角ゴ Pro W3" w:hAnsi="Times New Roman" w:cstheme="minorHAnsi"/>
        </w:rPr>
        <w:t xml:space="preserve"> that culminated</w:t>
      </w:r>
      <w:r w:rsidRPr="00AD5FBE">
        <w:rPr>
          <w:rFonts w:ascii="Times New Roman" w:eastAsia="ヒラギノ角ゴ Pro W3" w:hAnsi="Times New Roman" w:cstheme="minorHAnsi"/>
        </w:rPr>
        <w:t xml:space="preserve"> in an expert policy forum at UNESCO headquarters in Paris in November 2010. As a result, the initial eight dimensions were distilled into four dimensions:</w:t>
      </w:r>
    </w:p>
    <w:p w:rsidR="00D379D4" w:rsidRDefault="00D379D4" w:rsidP="00D379D4">
      <w:pPr>
        <w:rPr>
          <w:rFonts w:ascii="Times New Roman" w:eastAsia="ヒラギノ角ゴ Pro W3" w:hAnsi="Times New Roman" w:cstheme="minorHAnsi"/>
        </w:rPr>
      </w:pPr>
    </w:p>
    <w:p w:rsidR="00D379D4" w:rsidRDefault="00D379D4" w:rsidP="00D379D4">
      <w:pPr>
        <w:pStyle w:val="ListParagraph"/>
        <w:numPr>
          <w:ilvl w:val="0"/>
          <w:numId w:val="2"/>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S</w:t>
      </w:r>
      <w:r w:rsidRPr="00AD5FBE">
        <w:rPr>
          <w:rFonts w:ascii="Times New Roman" w:eastAsia="ヒラギノ角ゴ Pro W3" w:hAnsi="Times New Roman" w:cstheme="minorHAnsi"/>
          <w:sz w:val="24"/>
        </w:rPr>
        <w:t>trategies and policies</w:t>
      </w:r>
    </w:p>
    <w:p w:rsidR="00D379D4" w:rsidRDefault="00D379D4" w:rsidP="00D379D4">
      <w:pPr>
        <w:pStyle w:val="ListParagraph"/>
        <w:numPr>
          <w:ilvl w:val="0"/>
          <w:numId w:val="2"/>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B</w:t>
      </w:r>
      <w:r w:rsidRPr="00AD5FBE">
        <w:rPr>
          <w:rFonts w:ascii="Times New Roman" w:eastAsia="ヒラギノ角ゴ Pro W3" w:hAnsi="Times New Roman" w:cstheme="minorHAnsi"/>
          <w:sz w:val="24"/>
        </w:rPr>
        <w:t>arriers and enabling (success) factors</w:t>
      </w:r>
    </w:p>
    <w:p w:rsidR="00D379D4" w:rsidRDefault="00D379D4" w:rsidP="00D379D4">
      <w:pPr>
        <w:pStyle w:val="ListParagraph"/>
        <w:numPr>
          <w:ilvl w:val="0"/>
          <w:numId w:val="2"/>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T</w:t>
      </w:r>
      <w:r w:rsidRPr="00AD5FBE">
        <w:rPr>
          <w:rFonts w:ascii="Times New Roman" w:eastAsia="ヒラギノ角ゴ Pro W3" w:hAnsi="Times New Roman" w:cstheme="minorHAnsi"/>
          <w:sz w:val="24"/>
        </w:rPr>
        <w:t>ools and tool practices</w:t>
      </w:r>
    </w:p>
    <w:p w:rsidR="00D379D4" w:rsidRDefault="00D379D4" w:rsidP="00D379D4">
      <w:pPr>
        <w:pStyle w:val="ListParagraph"/>
        <w:numPr>
          <w:ilvl w:val="0"/>
          <w:numId w:val="2"/>
        </w:numPr>
        <w:spacing w:after="0" w:line="240" w:lineRule="auto"/>
        <w:rPr>
          <w:rFonts w:ascii="Times New Roman" w:eastAsia="ヒラギノ角ゴ Pro W3" w:hAnsi="Times New Roman" w:cstheme="minorHAnsi"/>
          <w:sz w:val="24"/>
        </w:rPr>
      </w:pPr>
      <w:r>
        <w:rPr>
          <w:rFonts w:ascii="Times New Roman" w:eastAsia="ヒラギノ角ゴ Pro W3" w:hAnsi="Times New Roman" w:cstheme="minorHAnsi"/>
          <w:sz w:val="24"/>
        </w:rPr>
        <w:t>Skills development and support</w:t>
      </w:r>
      <w:r w:rsidRPr="00AD5FBE">
        <w:rPr>
          <w:rFonts w:ascii="Times New Roman" w:eastAsia="ヒラギノ角ゴ Pro W3" w:hAnsi="Times New Roman" w:cstheme="minorHAnsi"/>
          <w:sz w:val="24"/>
        </w:rPr>
        <w:t xml:space="preserve"> </w:t>
      </w:r>
    </w:p>
    <w:p w:rsidR="00D379D4" w:rsidRDefault="00D379D4" w:rsidP="00D379D4"/>
    <w:p w:rsidR="00D379D4" w:rsidRDefault="00D379D4" w:rsidP="00D379D4">
      <w:r>
        <w:t xml:space="preserve">These were then translated into a set of guidelines for OER stakeholders, which enabled individuals and institutions to: </w:t>
      </w:r>
      <w:proofErr w:type="spellStart"/>
      <w:r>
        <w:t>i</w:t>
      </w:r>
      <w:proofErr w:type="spellEnd"/>
      <w:r>
        <w:t xml:space="preserve">) articulate and benchmark their existing OEP and ii) creation of a vision and implementation plan for their </w:t>
      </w:r>
      <w:proofErr w:type="spellStart"/>
      <w:r>
        <w:t>ongoing</w:t>
      </w:r>
      <w:proofErr w:type="spellEnd"/>
      <w:r>
        <w:t xml:space="preserve"> OER activities. </w:t>
      </w:r>
    </w:p>
    <w:p w:rsidR="00D379D4" w:rsidRDefault="00D379D4" w:rsidP="00D379D4"/>
    <w:p w:rsidR="00D379D4" w:rsidRPr="00D379D4" w:rsidRDefault="00D379D4" w:rsidP="00D379D4">
      <w:pPr>
        <w:shd w:val="clear" w:color="auto" w:fill="FFFFFF"/>
        <w:rPr>
          <w:rFonts w:ascii="Times New Roman" w:hAnsi="Times New Roman" w:cstheme="minorHAnsi"/>
        </w:rPr>
      </w:pPr>
      <w:r w:rsidRPr="00D379D4">
        <w:rPr>
          <w:rFonts w:ascii="Times New Roman" w:hAnsi="Times New Roman" w:cstheme="minorHAnsi"/>
        </w:rPr>
        <w:t>Step 1: Posi</w:t>
      </w:r>
      <w:r>
        <w:rPr>
          <w:rFonts w:ascii="Times New Roman" w:hAnsi="Times New Roman" w:cstheme="minorHAnsi"/>
        </w:rPr>
        <w:t>tioning organisations</w:t>
      </w:r>
      <w:r w:rsidRPr="00D379D4">
        <w:rPr>
          <w:rFonts w:ascii="Times New Roman" w:hAnsi="Times New Roman" w:cstheme="minorHAnsi"/>
        </w:rPr>
        <w:t>:</w:t>
      </w:r>
    </w:p>
    <w:p w:rsidR="00D379D4" w:rsidRDefault="00D379D4" w:rsidP="00D379D4">
      <w:pPr>
        <w:shd w:val="clear" w:color="auto" w:fill="FFFFFF"/>
        <w:rPr>
          <w:rFonts w:ascii="Times New Roman" w:hAnsi="Times New Roman" w:cstheme="minorHAnsi"/>
        </w:rPr>
      </w:pP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To what extent are you using and repurposing OER in your organisation?</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Do you have a process for creating OER in your organisation?</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To what extent are you sharing OER and OEP in your organisation?</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To what extent is your organisation working with open learning architectures?</w:t>
      </w:r>
    </w:p>
    <w:p w:rsidR="00D379D4" w:rsidRDefault="00D379D4" w:rsidP="00D379D4">
      <w:pPr>
        <w:shd w:val="clear" w:color="auto" w:fill="FFFFFF"/>
        <w:rPr>
          <w:rFonts w:ascii="Times New Roman" w:hAnsi="Times New Roman" w:cstheme="minorHAnsi"/>
        </w:rPr>
      </w:pPr>
    </w:p>
    <w:p w:rsidR="00D379D4" w:rsidRPr="00D379D4" w:rsidRDefault="00D379D4" w:rsidP="00D379D4">
      <w:pPr>
        <w:shd w:val="clear" w:color="auto" w:fill="FFFFFF"/>
        <w:rPr>
          <w:rFonts w:ascii="Times New Roman" w:hAnsi="Times New Roman" w:cstheme="minorHAnsi"/>
        </w:rPr>
      </w:pPr>
      <w:r w:rsidRPr="00D379D4">
        <w:rPr>
          <w:rFonts w:ascii="Times New Roman" w:hAnsi="Times New Roman" w:cstheme="minorHAnsi"/>
        </w:rPr>
        <w:t>Step 2: Creating a vision of openness and a strategy for OEP:</w:t>
      </w:r>
    </w:p>
    <w:p w:rsidR="00D379D4" w:rsidRDefault="00D379D4" w:rsidP="00D379D4">
      <w:pPr>
        <w:shd w:val="clear" w:color="auto" w:fill="FFFFFF"/>
        <w:rPr>
          <w:rFonts w:ascii="Times New Roman" w:hAnsi="Times New Roman" w:cstheme="minorHAnsi"/>
        </w:rPr>
      </w:pP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Is a vision for OEP shared across the organisation?</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OEP included in existing strategies and policies?</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OEP embedded in the organisation’s business models?</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you involved in any partnerships in relation to OEP?</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OEP perceived as relevant across the organisation?</w:t>
      </w:r>
    </w:p>
    <w:p w:rsidR="00D379D4" w:rsidRDefault="00D379D4" w:rsidP="00D379D4">
      <w:pPr>
        <w:shd w:val="clear" w:color="auto" w:fill="FFFFFF"/>
        <w:rPr>
          <w:rFonts w:ascii="Times New Roman" w:hAnsi="Times New Roman" w:cstheme="minorHAnsi"/>
        </w:rPr>
      </w:pPr>
    </w:p>
    <w:p w:rsidR="00D379D4" w:rsidRPr="00D379D4" w:rsidRDefault="00D379D4" w:rsidP="00D379D4">
      <w:pPr>
        <w:shd w:val="clear" w:color="auto" w:fill="FFFFFF"/>
        <w:rPr>
          <w:rFonts w:ascii="Times New Roman" w:hAnsi="Times New Roman" w:cstheme="minorHAnsi"/>
        </w:rPr>
      </w:pPr>
      <w:r w:rsidRPr="00D379D4">
        <w:rPr>
          <w:rFonts w:ascii="Times New Roman" w:hAnsi="Times New Roman" w:cstheme="minorHAnsi"/>
        </w:rPr>
        <w:t>Step 3: Implementing and promoting OEP:</w:t>
      </w:r>
    </w:p>
    <w:p w:rsidR="00D379D4" w:rsidRDefault="00D379D4" w:rsidP="00D379D4">
      <w:pPr>
        <w:shd w:val="clear" w:color="auto" w:fill="FFFFFF"/>
        <w:rPr>
          <w:rFonts w:ascii="Times New Roman" w:hAnsi="Times New Roman" w:cstheme="minorHAnsi"/>
        </w:rPr>
      </w:pP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Pr>
          <w:rFonts w:ascii="Times New Roman" w:eastAsia="ヒラギノ角ゴ Pro W3" w:hAnsi="Times New Roman" w:cstheme="minorHAnsi"/>
          <w:color w:val="000000"/>
          <w:sz w:val="24"/>
        </w:rPr>
        <w:t>Are there any</w:t>
      </w:r>
      <w:r w:rsidRPr="00AD5FBE">
        <w:rPr>
          <w:rFonts w:ascii="Times New Roman" w:eastAsia="ヒラギノ角ゴ Pro W3" w:hAnsi="Times New Roman" w:cstheme="minorHAnsi"/>
          <w:color w:val="000000"/>
          <w:sz w:val="24"/>
        </w:rPr>
        <w:t xml:space="preserve"> </w:t>
      </w:r>
      <w:r>
        <w:rPr>
          <w:rFonts w:ascii="Times New Roman" w:eastAsia="ヒラギノ角ゴ Pro W3" w:hAnsi="Times New Roman" w:cstheme="minorHAnsi"/>
          <w:color w:val="000000"/>
          <w:sz w:val="24"/>
        </w:rPr>
        <w:t xml:space="preserve">intellectual property rights </w:t>
      </w:r>
      <w:r w:rsidRPr="00AD5FBE">
        <w:rPr>
          <w:rFonts w:ascii="Times New Roman" w:eastAsia="ヒラギノ角ゴ Pro W3" w:hAnsi="Times New Roman" w:cstheme="minorHAnsi"/>
          <w:color w:val="000000"/>
          <w:sz w:val="24"/>
        </w:rPr>
        <w:t>and copyright regulation</w:t>
      </w:r>
      <w:r>
        <w:rPr>
          <w:rFonts w:ascii="Times New Roman" w:eastAsia="ヒラギノ角ゴ Pro W3" w:hAnsi="Times New Roman" w:cstheme="minorHAnsi"/>
          <w:color w:val="000000"/>
          <w:sz w:val="24"/>
        </w:rPr>
        <w:t>s</w:t>
      </w:r>
      <w:r w:rsidRPr="00AD5FBE">
        <w:rPr>
          <w:rFonts w:ascii="Times New Roman" w:eastAsia="ヒラギノ角ゴ Pro W3" w:hAnsi="Times New Roman" w:cstheme="minorHAnsi"/>
          <w:color w:val="000000"/>
          <w:sz w:val="24"/>
        </w:rPr>
        <w:t xml:space="preserve"> for OER</w:t>
      </w:r>
      <w:r>
        <w:rPr>
          <w:rFonts w:ascii="Times New Roman" w:eastAsia="ヒラギノ角ゴ Pro W3" w:hAnsi="Times New Roman" w:cstheme="minorHAnsi"/>
          <w:color w:val="000000"/>
          <w:sz w:val="24"/>
        </w:rPr>
        <w:t>?</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Pr>
          <w:rFonts w:ascii="Times New Roman" w:eastAsia="ヒラギノ角ゴ Pro W3" w:hAnsi="Times New Roman" w:cstheme="minorHAnsi"/>
          <w:color w:val="000000"/>
          <w:sz w:val="24"/>
        </w:rPr>
        <w:t>Does</w:t>
      </w:r>
      <w:r w:rsidRPr="00AD5FBE">
        <w:rPr>
          <w:rFonts w:ascii="Times New Roman" w:eastAsia="ヒラギノ角ゴ Pro W3" w:hAnsi="Times New Roman" w:cstheme="minorHAnsi"/>
          <w:color w:val="000000"/>
          <w:sz w:val="24"/>
        </w:rPr>
        <w:t xml:space="preserve"> a motivational framework for OEP </w:t>
      </w:r>
      <w:r>
        <w:rPr>
          <w:rFonts w:ascii="Times New Roman" w:eastAsia="ヒラギノ角ゴ Pro W3" w:hAnsi="Times New Roman" w:cstheme="minorHAnsi"/>
          <w:color w:val="000000"/>
          <w:sz w:val="24"/>
        </w:rPr>
        <w:t>exist</w:t>
      </w:r>
      <w:r w:rsidRPr="00AD5FBE">
        <w:rPr>
          <w:rFonts w:ascii="Times New Roman" w:eastAsia="ヒラギノ角ゴ Pro W3" w:hAnsi="Times New Roman" w:cstheme="minorHAnsi"/>
          <w:color w:val="000000"/>
          <w:sz w:val="24"/>
        </w:rPr>
        <w:t>?</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OEP used?</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Do you have tools to support the sharing and exchang</w:t>
      </w:r>
      <w:r>
        <w:rPr>
          <w:rFonts w:ascii="Times New Roman" w:eastAsia="ヒラギノ角ゴ Pro W3" w:hAnsi="Times New Roman" w:cstheme="minorHAnsi"/>
          <w:color w:val="000000"/>
          <w:sz w:val="24"/>
        </w:rPr>
        <w:t>e</w:t>
      </w:r>
      <w:r w:rsidRPr="00AD5FBE">
        <w:rPr>
          <w:rFonts w:ascii="Times New Roman" w:eastAsia="ヒラギノ角ゴ Pro W3" w:hAnsi="Times New Roman" w:cstheme="minorHAnsi"/>
          <w:color w:val="000000"/>
          <w:sz w:val="24"/>
        </w:rPr>
        <w:t xml:space="preserve"> of information about OEP?</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Do you apply any quality concepts to OEP?</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lastRenderedPageBreak/>
        <w:t>What level of knowledge and skills do teachers have in relation to open learning architectures and OEP?</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What level of digital literacy skills do learners and teachers have in your organisation?</w:t>
      </w:r>
    </w:p>
    <w:p w:rsidR="00D379D4" w:rsidRDefault="00D379D4" w:rsidP="00D379D4">
      <w:pPr>
        <w:pStyle w:val="ListParagraph"/>
        <w:numPr>
          <w:ilvl w:val="0"/>
          <w:numId w:val="3"/>
        </w:numPr>
        <w:spacing w:after="0" w:line="240" w:lineRule="auto"/>
        <w:rPr>
          <w:rFonts w:ascii="Times New Roman" w:eastAsia="ヒラギノ角ゴ Pro W3" w:hAnsi="Times New Roman" w:cstheme="minorHAnsi"/>
          <w:color w:val="000000"/>
          <w:sz w:val="24"/>
        </w:rPr>
      </w:pPr>
      <w:r w:rsidRPr="00AD5FBE">
        <w:rPr>
          <w:rFonts w:ascii="Times New Roman" w:eastAsia="ヒラギノ角ゴ Pro W3" w:hAnsi="Times New Roman" w:cstheme="minorHAnsi"/>
          <w:color w:val="000000"/>
          <w:sz w:val="24"/>
        </w:rPr>
        <w:t>Are support mechanisms in place to support the development of OEP?</w:t>
      </w:r>
    </w:p>
    <w:p w:rsidR="00D379D4" w:rsidRDefault="00D379D4" w:rsidP="00D379D4"/>
    <w:p w:rsidR="00D379D4" w:rsidRDefault="00D379D4" w:rsidP="00D379D4">
      <w:pPr>
        <w:rPr>
          <w:rFonts w:ascii="Times New Roman" w:hAnsi="Times New Roman" w:cstheme="minorHAnsi"/>
        </w:rPr>
      </w:pPr>
      <w:r w:rsidRPr="00AD5FBE">
        <w:rPr>
          <w:rFonts w:ascii="Times New Roman" w:hAnsi="Times New Roman" w:cstheme="minorHAnsi"/>
        </w:rPr>
        <w:t>For each question there is a series of indicators indicating the level of maturity of OEP that institutions can benchmark themselves against to determine their OER maturity.</w:t>
      </w:r>
      <w:r>
        <w:rPr>
          <w:rFonts w:ascii="Times New Roman" w:hAnsi="Times New Roman" w:cstheme="minorHAnsi"/>
        </w:rPr>
        <w:t xml:space="preserve"> An interactive ‘OEP </w:t>
      </w:r>
      <w:proofErr w:type="spellStart"/>
      <w:r>
        <w:rPr>
          <w:rFonts w:ascii="Times New Roman" w:hAnsi="Times New Roman" w:cstheme="minorHAnsi"/>
        </w:rPr>
        <w:t>metromap</w:t>
      </w:r>
      <w:proofErr w:type="spellEnd"/>
      <w:r>
        <w:rPr>
          <w:rFonts w:ascii="Times New Roman" w:hAnsi="Times New Roman" w:cstheme="minorHAnsi"/>
        </w:rPr>
        <w:t>’ of the guidelines was also produce (Figure 1).</w:t>
      </w:r>
      <w:r w:rsidRPr="00AD5FBE">
        <w:rPr>
          <w:rStyle w:val="EndnoteReference"/>
          <w:rFonts w:ascii="Times New Roman" w:hAnsi="Times New Roman" w:cstheme="minorHAnsi"/>
        </w:rPr>
        <w:endnoteReference w:id="2"/>
      </w:r>
      <w:r>
        <w:rPr>
          <w:rFonts w:ascii="Times New Roman" w:hAnsi="Times New Roman" w:cstheme="minorHAnsi"/>
        </w:rPr>
        <w:t xml:space="preserve"> This</w:t>
      </w:r>
      <w:r w:rsidRPr="00AD5FBE">
        <w:rPr>
          <w:rFonts w:ascii="Times New Roman" w:hAnsi="Times New Roman" w:cstheme="minorHAnsi"/>
        </w:rPr>
        <w:t xml:space="preserve"> enables learners, educational practitioners, organisational leaders and policy makers to plot their trajectory on the path to </w:t>
      </w:r>
      <w:r>
        <w:rPr>
          <w:rFonts w:ascii="Times New Roman" w:hAnsi="Times New Roman" w:cstheme="minorHAnsi"/>
        </w:rPr>
        <w:t>OEP</w:t>
      </w:r>
      <w:r w:rsidRPr="00AD5FBE">
        <w:rPr>
          <w:rFonts w:ascii="Times New Roman" w:hAnsi="Times New Roman" w:cstheme="minorHAnsi"/>
        </w:rPr>
        <w:t xml:space="preserve">. This begins with assessing their current position, through the creation of a vision for openness and a strategy for open practices, and finally to implementing and promoting </w:t>
      </w:r>
      <w:r>
        <w:rPr>
          <w:rFonts w:ascii="Times New Roman" w:hAnsi="Times New Roman" w:cstheme="minorHAnsi"/>
        </w:rPr>
        <w:t>OEP</w:t>
      </w:r>
      <w:r w:rsidRPr="00AD5FBE">
        <w:rPr>
          <w:rFonts w:ascii="Times New Roman" w:hAnsi="Times New Roman" w:cstheme="minorHAnsi"/>
        </w:rPr>
        <w:t>.</w:t>
      </w:r>
    </w:p>
    <w:p w:rsidR="00D379D4" w:rsidRDefault="00D379D4" w:rsidP="00D379D4">
      <w:pPr>
        <w:rPr>
          <w:rFonts w:ascii="Times New Roman" w:hAnsi="Times New Roman" w:cstheme="minorHAnsi"/>
        </w:rPr>
      </w:pPr>
      <w:r w:rsidRPr="00AD5FBE">
        <w:rPr>
          <w:rFonts w:ascii="Times New Roman" w:hAnsi="Times New Roman" w:cstheme="minorHAnsi"/>
        </w:rPr>
        <w:t xml:space="preserve"> </w:t>
      </w:r>
    </w:p>
    <w:p w:rsidR="00D379D4" w:rsidRDefault="00D379D4" w:rsidP="00D379D4">
      <w:pPr>
        <w:keepNext/>
      </w:pPr>
      <w:r w:rsidRPr="005573C7">
        <w:rPr>
          <w:rFonts w:ascii="Times New Roman" w:hAnsi="Times New Roman" w:cstheme="minorHAnsi"/>
          <w:noProof/>
          <w:lang w:val="en-ZA" w:eastAsia="en-ZA"/>
        </w:rPr>
        <w:drawing>
          <wp:inline distT="0" distB="0" distL="0" distR="0">
            <wp:extent cx="5270500" cy="2861229"/>
            <wp:effectExtent l="25400" t="0" r="0" b="0"/>
            <wp:docPr id="1" name="Picture 5" descr="metr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map.jpg"/>
                    <pic:cNvPicPr/>
                  </pic:nvPicPr>
                  <pic:blipFill>
                    <a:blip r:embed="rId9"/>
                    <a:stretch>
                      <a:fillRect/>
                    </a:stretch>
                  </pic:blipFill>
                  <pic:spPr>
                    <a:xfrm>
                      <a:off x="0" y="0"/>
                      <a:ext cx="5270500" cy="2861229"/>
                    </a:xfrm>
                    <a:prstGeom prst="rect">
                      <a:avLst/>
                    </a:prstGeom>
                  </pic:spPr>
                </pic:pic>
              </a:graphicData>
            </a:graphic>
          </wp:inline>
        </w:drawing>
      </w:r>
    </w:p>
    <w:p w:rsidR="00D379D4" w:rsidRPr="00A72EE2" w:rsidRDefault="00D379D4" w:rsidP="00A72EE2">
      <w:pPr>
        <w:pStyle w:val="Caption"/>
        <w:rPr>
          <w:rFonts w:ascii="Times New Roman" w:hAnsi="Times New Roman" w:cstheme="minorHAnsi"/>
          <w:sz w:val="24"/>
        </w:rPr>
      </w:pPr>
      <w:r>
        <w:t xml:space="preserve">Figure </w:t>
      </w:r>
      <w:r w:rsidR="00CA5400">
        <w:fldChar w:fldCharType="begin"/>
      </w:r>
      <w:r w:rsidR="00CA5400">
        <w:instrText xml:space="preserve"> SEQ Figure \* ARABIC </w:instrText>
      </w:r>
      <w:r w:rsidR="00CA5400">
        <w:fldChar w:fldCharType="separate"/>
      </w:r>
      <w:r w:rsidR="009C7F84">
        <w:rPr>
          <w:noProof/>
        </w:rPr>
        <w:t>1</w:t>
      </w:r>
      <w:r w:rsidR="00CA5400">
        <w:rPr>
          <w:noProof/>
        </w:rPr>
        <w:fldChar w:fldCharType="end"/>
      </w:r>
      <w:r>
        <w:t xml:space="preserve">: The OPAL OEP </w:t>
      </w:r>
      <w:proofErr w:type="spellStart"/>
      <w:r>
        <w:t>metromap</w:t>
      </w:r>
      <w:proofErr w:type="spellEnd"/>
    </w:p>
    <w:p w:rsidR="00AC0C75" w:rsidRDefault="00D379D4" w:rsidP="00D379D4">
      <w:pPr>
        <w:pStyle w:val="Heading2"/>
      </w:pPr>
      <w:r>
        <w:t>Open courses</w:t>
      </w:r>
      <w:r w:rsidR="00AC0C75">
        <w:t xml:space="preserve"> and delivery</w:t>
      </w:r>
    </w:p>
    <w:p w:rsidR="00AC0C75" w:rsidRDefault="00AC0C75" w:rsidP="00AC0C75">
      <w:pPr>
        <w:tabs>
          <w:tab w:val="left" w:pos="426"/>
        </w:tabs>
        <w:rPr>
          <w:rFonts w:ascii="Times New Roman" w:eastAsia="ヒラギノ角ゴ Pro W3" w:hAnsi="Times New Roman"/>
        </w:rPr>
      </w:pPr>
      <w:r>
        <w:rPr>
          <w:rFonts w:ascii="Times New Roman" w:eastAsia="ヒラギノ角ゴ Pro W3" w:hAnsi="Times New Roman"/>
        </w:rPr>
        <w:t>With a shift towards more open learning and teaching practices the boundaries between traditional, formal educational contexts and other non-formal and informal learning contexts are changing. What would adopting a more open approach to delivery mean? What will be the impact of mixing institutional systems with freely available services? How can a more dialogic engagement for learning and teaching be fostered, starting as part of the design process described above, through to delivery and assessment? How might the vision of the use of Open Educational Resources be realised?</w:t>
      </w:r>
    </w:p>
    <w:p w:rsidR="00D379D4" w:rsidRPr="00AC0C75" w:rsidRDefault="00D379D4" w:rsidP="00AC0C75"/>
    <w:p w:rsidR="00487E38" w:rsidRDefault="00D379D4" w:rsidP="0097526B">
      <w:r>
        <w:t>In the last few years a number of open courses have been developed. Siemens</w:t>
      </w:r>
      <w:r w:rsidR="00CA4EB1">
        <w:t xml:space="preserve">, </w:t>
      </w:r>
      <w:proofErr w:type="spellStart"/>
      <w:r w:rsidR="00CA4EB1">
        <w:t>Downes</w:t>
      </w:r>
      <w:proofErr w:type="spellEnd"/>
      <w:r w:rsidR="00CA4EB1">
        <w:t xml:space="preserve"> and Cormier were the original creators of these and refer</w:t>
      </w:r>
      <w:r>
        <w:t xml:space="preserve"> to the</w:t>
      </w:r>
      <w:r w:rsidR="00CA4EB1">
        <w:t>m</w:t>
      </w:r>
      <w:r>
        <w:t xml:space="preserve"> as Massive </w:t>
      </w:r>
      <w:r w:rsidR="00CA4EB1">
        <w:t xml:space="preserve">Open Online Courses (MOOCs). Participation in these courses is free, as are the expertise of the facilitators and presenters and the associated course materials. Siemens argues that MOOCs are predicated on the notion of </w:t>
      </w:r>
      <w:proofErr w:type="spellStart"/>
      <w:r w:rsidR="00CA4EB1">
        <w:t>connectivism</w:t>
      </w:r>
      <w:proofErr w:type="spellEnd"/>
      <w:r w:rsidR="00CA4EB1">
        <w:t xml:space="preserve"> </w:t>
      </w:r>
      <w:r w:rsidR="00CA4EB1">
        <w:fldChar w:fldCharType="begin"/>
      </w:r>
      <w:r w:rsidR="00CA4EB1">
        <w:instrText xml:space="preserve"> ADDIN EN.CITE &lt;EndNote&gt;&lt;Cite&gt;&lt;Author&gt;Siemens&lt;/Author&gt;&lt;Year&gt;2005&lt;/Year&gt;&lt;RecNum&gt;319&lt;/RecNum&gt;&lt;DisplayText&gt;(Siemens 2005)&lt;/DisplayText&gt;&lt;record&gt;&lt;rec-number&gt;319&lt;/rec-number&gt;&lt;foreign-keys&gt;&lt;key app="EN" db-id="2errrtwrme9dt5e5fpyv5pta2fzsx5vrd0zz"&gt;319&lt;/key&gt;&lt;/foreign-keys&gt;&lt;ref-type name="Journal Article"&gt;17&lt;/ref-type&gt;&lt;contributors&gt;&lt;authors&gt;&lt;author&gt;Siemens, George&lt;/author&gt;&lt;/authors&gt;&lt;/contributors&gt;&lt;titles&gt;&lt;title&gt;Connectivism: A learning theory for the digital age&lt;/title&gt;&lt;secondary-title&gt;International journal of instructional technology and distance learning&lt;/secondary-title&gt;&lt;/titles&gt;&lt;pages&gt;3–10&lt;/pages&gt;&lt;volume&gt;2&lt;/volume&gt;&lt;number&gt;1&lt;/number&gt;&lt;dates&gt;&lt;year&gt;2005&lt;/year&gt;&lt;/dates&gt;&lt;urls&gt;&lt;related-urls&gt;&lt;url&gt;http://www.elearnspace.org/Articles/connectivism.htm&lt;/url&gt;&lt;/related-urls&gt;&lt;/urls&gt;&lt;/record&gt;&lt;/Cite&gt;&lt;/EndNote&gt;</w:instrText>
      </w:r>
      <w:r w:rsidR="00CA4EB1">
        <w:fldChar w:fldCharType="separate"/>
      </w:r>
      <w:r w:rsidR="00CA4EB1">
        <w:rPr>
          <w:noProof/>
        </w:rPr>
        <w:t>(</w:t>
      </w:r>
      <w:hyperlink w:anchor="_ENREF_32" w:tooltip="Siemens, 2005 #319" w:history="1">
        <w:r w:rsidR="009C7F84">
          <w:rPr>
            <w:noProof/>
          </w:rPr>
          <w:t>Siemens 2005</w:t>
        </w:r>
      </w:hyperlink>
      <w:r w:rsidR="00CA4EB1">
        <w:rPr>
          <w:noProof/>
        </w:rPr>
        <w:t>)</w:t>
      </w:r>
      <w:r w:rsidR="00CA4EB1">
        <w:fldChar w:fldCharType="end"/>
      </w:r>
      <w:r w:rsidR="00CA4EB1">
        <w:t xml:space="preserve"> and have a number of key characteristics. The first </w:t>
      </w:r>
      <w:r w:rsidR="00CA4EB1" w:rsidRPr="00CA4EB1">
        <w:t xml:space="preserve">is aggregation. </w:t>
      </w:r>
      <w:r w:rsidR="00CA4EB1">
        <w:t xml:space="preserve">A </w:t>
      </w:r>
      <w:proofErr w:type="spellStart"/>
      <w:r w:rsidR="00CA4EB1">
        <w:t>Mooc</w:t>
      </w:r>
      <w:proofErr w:type="spellEnd"/>
      <w:r w:rsidR="00CA4EB1">
        <w:t xml:space="preserve"> provides a starting point to access</w:t>
      </w:r>
      <w:r w:rsidR="00CA4EB1" w:rsidRPr="00CA4EB1">
        <w:t xml:space="preserve"> a massive amount of content </w:t>
      </w:r>
      <w:r w:rsidR="00CA4EB1">
        <w:t xml:space="preserve">on a particular topic that has been </w:t>
      </w:r>
      <w:r w:rsidR="00CA4EB1" w:rsidRPr="00CA4EB1">
        <w:t>produced in</w:t>
      </w:r>
      <w:r w:rsidR="00CA4EB1">
        <w:t xml:space="preserve"> different</w:t>
      </w:r>
      <w:r w:rsidR="00CA4EB1" w:rsidRPr="00CA4EB1">
        <w:t> </w:t>
      </w:r>
      <w:r w:rsidR="00CA4EB1">
        <w:t xml:space="preserve">places online. </w:t>
      </w:r>
      <w:r w:rsidR="00CA4EB1">
        <w:lastRenderedPageBreak/>
        <w:t xml:space="preserve">These are then aggregated as newsletters or as a web page, which are then made available to participants and are updated on a regular basis. </w:t>
      </w:r>
      <w:r w:rsidR="00CA4EB1" w:rsidRPr="00CA4EB1">
        <w:t>This is in contrast to traditional course</w:t>
      </w:r>
      <w:r w:rsidR="00CA4EB1">
        <w:t xml:space="preserve">s, where the content is usually prepared in advance. </w:t>
      </w:r>
      <w:r w:rsidR="00CA4EB1" w:rsidRPr="00CA4EB1">
        <w:t xml:space="preserve">The second </w:t>
      </w:r>
      <w:r w:rsidR="00CA4EB1">
        <w:t>is remixing</w:t>
      </w:r>
      <w:r w:rsidR="00CA4EB1" w:rsidRPr="00CA4EB1">
        <w:t xml:space="preserve">, that is, </w:t>
      </w:r>
      <w:r w:rsidR="00CA4EB1">
        <w:t>linking and adapting</w:t>
      </w:r>
      <w:r w:rsidR="00CA4EB1" w:rsidRPr="00CA4EB1">
        <w:t xml:space="preserve"> materials created within the course with each other and with materials elsewhere.</w:t>
      </w:r>
      <w:r w:rsidR="00CA4EB1">
        <w:t xml:space="preserve"> A key feature of a MOOC is that participants are active creators of resources for the course. The third </w:t>
      </w:r>
      <w:r w:rsidR="00CA4EB1" w:rsidRPr="00CA4EB1">
        <w:t xml:space="preserve">is re-purposing of aggregated and remixed materials to suit </w:t>
      </w:r>
      <w:r w:rsidR="00CA4EB1">
        <w:t xml:space="preserve">the </w:t>
      </w:r>
      <w:r w:rsidR="00CA4EB1" w:rsidRPr="00CA4EB1">
        <w:t>goals of each participant.</w:t>
      </w:r>
      <w:r w:rsidR="00CA4EB1">
        <w:t xml:space="preserve"> There is now preferred learning pathway through the material</w:t>
      </w:r>
      <w:r w:rsidR="00487E38">
        <w:t xml:space="preserve"> and e</w:t>
      </w:r>
      <w:r w:rsidR="00CA4EB1">
        <w:t xml:space="preserve">ach participant creates their own personalised learning environment. </w:t>
      </w:r>
      <w:r w:rsidR="00CA4EB1" w:rsidRPr="00CA4EB1">
        <w:t xml:space="preserve">The fourth is </w:t>
      </w:r>
      <w:r w:rsidR="00CA4EB1">
        <w:t>the notion of ‘</w:t>
      </w:r>
      <w:r w:rsidR="00CA4EB1" w:rsidRPr="00CA4EB1">
        <w:t>feeding forward</w:t>
      </w:r>
      <w:r w:rsidR="00CA4EB1">
        <w:t>’</w:t>
      </w:r>
      <w:r w:rsidR="00CA4EB1" w:rsidRPr="00CA4EB1">
        <w:t xml:space="preserve">, </w:t>
      </w:r>
      <w:r w:rsidR="00CA4EB1">
        <w:t>i.e. the</w:t>
      </w:r>
      <w:r w:rsidR="00CA4EB1" w:rsidRPr="00CA4EB1">
        <w:t xml:space="preserve"> sharing of re-purposed ideas and content with other participants and the rest of the world.</w:t>
      </w:r>
      <w:r w:rsidR="004866CA">
        <w:t xml:space="preserve"> </w:t>
      </w:r>
      <w:r w:rsidR="00487E38">
        <w:t xml:space="preserve">Siemens and </w:t>
      </w:r>
      <w:proofErr w:type="spellStart"/>
      <w:r w:rsidR="00487E38">
        <w:t>Downes</w:t>
      </w:r>
      <w:proofErr w:type="spellEnd"/>
      <w:r w:rsidR="00487E38">
        <w:t xml:space="preserve"> argued that a central feature of a MOOC is a shift from a traditional, closed group, highly structured course, where students are dependent on tutors, to open networks of self-directed learners. </w:t>
      </w:r>
      <w:proofErr w:type="spellStart"/>
      <w:r w:rsidR="00487E38">
        <w:t>Downes</w:t>
      </w:r>
      <w:proofErr w:type="spellEnd"/>
      <w:r w:rsidR="00487E38">
        <w:t xml:space="preserve"> sees the design of the course - as a distributed </w:t>
      </w:r>
      <w:proofErr w:type="spellStart"/>
      <w:r w:rsidR="00487E38">
        <w:t>connectivist</w:t>
      </w:r>
      <w:proofErr w:type="spellEnd"/>
      <w:r w:rsidR="00487E38">
        <w:t>-model course - created a structure in which the course contents formed a cluster of resources around a subject-area, rather than a linear set of materials that all students must follow. Participants create their own materials, selecting only those they found interesting and relevant, thereby creating a personal perspectiv</w:t>
      </w:r>
      <w:r w:rsidR="003A4578">
        <w:t xml:space="preserve">e on the materials </w:t>
      </w:r>
      <w:r w:rsidR="003A4578">
        <w:fldChar w:fldCharType="begin"/>
      </w:r>
      <w:r w:rsidR="003A4578">
        <w:instrText xml:space="preserve"> ADDIN EN.CITE &lt;EndNote&gt;&lt;Cite&gt;&lt;Author&gt;Downes&lt;/Author&gt;&lt;Year&gt;2007&lt;/Year&gt;&lt;RecNum&gt;332&lt;/RecNum&gt;&lt;DisplayText&gt;(Downes 2007)&lt;/DisplayText&gt;&lt;record&gt;&lt;rec-number&gt;332&lt;/rec-number&gt;&lt;foreign-keys&gt;&lt;key app="EN" db-id="2errrtwrme9dt5e5fpyv5pta2fzsx5vrd0zz"&gt;332&lt;/key&gt;&lt;/foreign-keys&gt;&lt;ref-type name="Conference Proceedings"&gt;10&lt;/ref-type&gt;&lt;contributors&gt;&lt;authors&gt;&lt;author&gt;Downes, S.&lt;/author&gt;&lt;/authors&gt;&lt;secondary-authors&gt;&lt;author&gt;Hug, Theo&lt;/author&gt;&lt;/secondary-authors&gt;&lt;/contributors&gt;&lt;titles&gt;&lt;title&gt;An introduction to connective knowledge&lt;/title&gt;&lt;secondary-title&gt;Media, Knowledge &amp;amp; Education - Exploring new Spaces, Relations and Dynamics in Digital Media Ecologies&lt;/secondary-title&gt;&lt;/titles&gt;&lt;dates&gt;&lt;year&gt;2007&lt;/year&gt;&lt;pub-dates&gt;&lt;date&gt;25-26 June 2007&lt;/date&gt;&lt;/pub-dates&gt;&lt;/dates&gt;&lt;pub-location&gt;Vienna&lt;/pub-location&gt;&lt;urls&gt;&lt;related-urls&gt;&lt;url&gt;http://www.downes.ca/post/33034&lt;/url&gt;&lt;/related-urls&gt;&lt;/urls&gt;&lt;/record&gt;&lt;/Cite&gt;&lt;/EndNote&gt;</w:instrText>
      </w:r>
      <w:r w:rsidR="003A4578">
        <w:fldChar w:fldCharType="separate"/>
      </w:r>
      <w:r w:rsidR="003A4578">
        <w:rPr>
          <w:noProof/>
        </w:rPr>
        <w:t>(</w:t>
      </w:r>
      <w:hyperlink w:anchor="_ENREF_17" w:tooltip="Downes, 2007 #332" w:history="1">
        <w:r w:rsidR="009C7F84">
          <w:rPr>
            <w:noProof/>
          </w:rPr>
          <w:t>Downes 2007</w:t>
        </w:r>
      </w:hyperlink>
      <w:r w:rsidR="003A4578">
        <w:rPr>
          <w:noProof/>
        </w:rPr>
        <w:t>)</w:t>
      </w:r>
      <w:r w:rsidR="003A4578">
        <w:fldChar w:fldCharType="end"/>
      </w:r>
      <w:r w:rsidR="00487E38">
        <w:t>.</w:t>
      </w:r>
      <w:r w:rsidR="0097526B">
        <w:t xml:space="preserve"> </w:t>
      </w:r>
      <w:proofErr w:type="spellStart"/>
      <w:r w:rsidR="0097526B">
        <w:t>McAuley</w:t>
      </w:r>
      <w:proofErr w:type="spellEnd"/>
      <w:r w:rsidR="0097526B">
        <w:t xml:space="preserve"> et al. </w:t>
      </w:r>
      <w:r w:rsidR="0097526B">
        <w:fldChar w:fldCharType="begin"/>
      </w:r>
      <w:r w:rsidR="0097526B">
        <w:instrText xml:space="preserve"> ADDIN EN.CITE &lt;EndNote&gt;&lt;Cite ExcludeAuth="1"&gt;&lt;Author&gt;McAuley&lt;/Author&gt;&lt;Year&gt;2010&lt;/Year&gt;&lt;RecNum&gt;615&lt;/RecNum&gt;&lt;DisplayText&gt;(2010)&lt;/DisplayText&gt;&lt;record&gt;&lt;rec-number&gt;615&lt;/rec-number&gt;&lt;foreign-keys&gt;&lt;key app="EN" db-id="2errrtwrme9dt5e5fpyv5pta2fzsx5vrd0zz"&gt;615&lt;/key&gt;&lt;/foreign-keys&gt;&lt;ref-type name="Report"&gt;27&lt;/ref-type&gt;&lt;contributors&gt;&lt;authors&gt;&lt;author&gt;McAuley, A.&lt;/author&gt;&lt;author&gt;Stewart, B.&lt;/author&gt;&lt;author&gt;Siemens, G.&lt;/author&gt;&lt;author&gt;Cormier, D.&lt;/author&gt;&lt;/authors&gt;&lt;/contributors&gt;&lt;titles&gt;&lt;title&gt;The MOOC model for digital practice&lt;/title&gt;&lt;/titles&gt;&lt;dates&gt;&lt;year&gt;2010&lt;/year&gt;&lt;/dates&gt;&lt;urls&gt;&lt;related-urls&gt;&lt;url&gt;http://www.edukwest.com/wp-content/uploads/2011/07/MOOC_Final.pdf&lt;/url&gt;&lt;/related-urls&gt;&lt;/urls&gt;&lt;/record&gt;&lt;/Cite&gt;&lt;/EndNote&gt;</w:instrText>
      </w:r>
      <w:r w:rsidR="0097526B">
        <w:fldChar w:fldCharType="separate"/>
      </w:r>
      <w:r w:rsidR="0097526B">
        <w:rPr>
          <w:noProof/>
        </w:rPr>
        <w:t>(</w:t>
      </w:r>
      <w:hyperlink w:anchor="_ENREF_27" w:tooltip="McAuley, 2010 #615" w:history="1">
        <w:r w:rsidR="009C7F84">
          <w:rPr>
            <w:noProof/>
          </w:rPr>
          <w:t>2010</w:t>
        </w:r>
      </w:hyperlink>
      <w:r w:rsidR="0097526B">
        <w:rPr>
          <w:noProof/>
        </w:rPr>
        <w:t>)</w:t>
      </w:r>
      <w:r w:rsidR="0097526B">
        <w:fldChar w:fldCharType="end"/>
      </w:r>
      <w:r w:rsidR="0097526B">
        <w:t xml:space="preserve"> argue that MOOCs integrate the connectivity of social networking, the facilitation of an acknowledged expert and a collection of freely accessible online resources. MOOCs build on the active engagement of several hundred to several thousand learners who self-organize their participation according to learning goals, prior knowledge and skills, and common interests. </w:t>
      </w:r>
    </w:p>
    <w:p w:rsidR="00487E38" w:rsidRDefault="00487E38" w:rsidP="00CA4EB1"/>
    <w:p w:rsidR="00D379D4" w:rsidRDefault="004866CA" w:rsidP="00AC0C75">
      <w:proofErr w:type="spellStart"/>
      <w:r>
        <w:t>Mackness</w:t>
      </w:r>
      <w:proofErr w:type="spellEnd"/>
      <w:r>
        <w:t xml:space="preserve"> et al. </w:t>
      </w:r>
      <w:r>
        <w:fldChar w:fldCharType="begin"/>
      </w:r>
      <w:r w:rsidR="00E449B3">
        <w:instrText xml:space="preserve"> ADDIN EN.CITE &lt;EndNote&gt;&lt;Cite ExcludeAuth="1"&gt;&lt;Author&gt;Mackness&lt;/Author&gt;&lt;Year&gt;2010&lt;/Year&gt;&lt;RecNum&gt;612&lt;/RecNum&gt;&lt;DisplayText&gt;(2010)&lt;/DisplayText&gt;&lt;record&gt;&lt;rec-number&gt;612&lt;/rec-number&gt;&lt;foreign-keys&gt;&lt;key app="EN" db-id="2errrtwrme9dt5e5fpyv5pta2fzsx5vrd0zz"&gt;612&lt;/key&gt;&lt;/foreign-keys&gt;&lt;ref-type name="Conference Proceedings"&gt;10&lt;/ref-type&gt;&lt;contributors&gt;&lt;authors&gt;&lt;author&gt;Mackness, J.&lt;/author&gt;&lt;author&gt;Mak, S.&lt;/author&gt;&lt;author&gt;Williams, R.&lt;/author&gt;&lt;/authors&gt;&lt;/contributors&gt;&lt;titles&gt;&lt;title&gt;The ideals and reality of participating in a MOOC&lt;/title&gt;&lt;secondary-title&gt;7th International Conference of Networked Learning&lt;/secondary-title&gt;&lt;/titles&gt;&lt;pages&gt;266 - 275&lt;/pages&gt;&lt;dates&gt;&lt;year&gt;2010&lt;/year&gt;&lt;/dates&gt;&lt;pub-location&gt;Lancaster &lt;/pub-location&gt;&lt;publisher&gt;Lancaster Univeristy&lt;/publisher&gt;&lt;urls&gt;&lt;/urls&gt;&lt;/record&gt;&lt;/Cite&gt;&lt;/EndNote&gt;</w:instrText>
      </w:r>
      <w:r>
        <w:fldChar w:fldCharType="separate"/>
      </w:r>
      <w:r w:rsidR="00E449B3">
        <w:rPr>
          <w:noProof/>
        </w:rPr>
        <w:t>(</w:t>
      </w:r>
      <w:hyperlink w:anchor="_ENREF_26" w:tooltip="Mackness, 2010 #612" w:history="1">
        <w:r w:rsidR="009C7F84">
          <w:rPr>
            <w:noProof/>
          </w:rPr>
          <w:t>2010</w:t>
        </w:r>
      </w:hyperlink>
      <w:r w:rsidR="00E449B3">
        <w:rPr>
          <w:noProof/>
        </w:rPr>
        <w:t>)</w:t>
      </w:r>
      <w:r>
        <w:fldChar w:fldCharType="end"/>
      </w:r>
      <w:r>
        <w:t xml:space="preserve"> report on one of the first MOOCs, CCK08 ‘</w:t>
      </w:r>
      <w:proofErr w:type="spellStart"/>
      <w:r>
        <w:t>Connectivism</w:t>
      </w:r>
      <w:proofErr w:type="spellEnd"/>
      <w:r>
        <w:t xml:space="preserve"> and Connective Knowledge’, </w:t>
      </w:r>
      <w:proofErr w:type="spellStart"/>
      <w:r>
        <w:t>lead</w:t>
      </w:r>
      <w:proofErr w:type="spellEnd"/>
      <w:r>
        <w:t xml:space="preserve"> by George Siemens and Stephen </w:t>
      </w:r>
      <w:proofErr w:type="spellStart"/>
      <w:r>
        <w:t>Downes</w:t>
      </w:r>
      <w:proofErr w:type="spellEnd"/>
      <w:r>
        <w:t>. Over 2000 people registered for the course and of these 24 obtained a credit for completing the course.</w:t>
      </w:r>
      <w:r w:rsidR="00CE7E36">
        <w:t xml:space="preserve"> They argue that autonomy, diversity, openness, connectedness and </w:t>
      </w:r>
      <w:r w:rsidR="00CE7E36" w:rsidRPr="00CE7E36">
        <w:t>interactivity</w:t>
      </w:r>
      <w:r w:rsidR="00CE7E36">
        <w:t xml:space="preserve"> are key characteristics of MOOCs, but they present paradoxes in that although they enable participants to interact with the course in a variety of ways, as a result participants can feel confused and overwhelmed by the sheer amount of materials and the diversity of ways in which they can participate with their fellow learners and the course facilitators.</w:t>
      </w:r>
      <w:r w:rsidR="006923F8">
        <w:t xml:space="preserve"> </w:t>
      </w:r>
      <w:proofErr w:type="spellStart"/>
      <w:r w:rsidR="006923F8">
        <w:t>Mackness</w:t>
      </w:r>
      <w:proofErr w:type="spellEnd"/>
      <w:r w:rsidR="006923F8">
        <w:t xml:space="preserve"> et al. conclude that the openness and diversity of the course meant that the usual support and moderation offered to learners was not possible in the MOOC and many participants stated that their experience of the course was not possible, this translated into a significant drop off of the number interacting in the course over time. </w:t>
      </w:r>
    </w:p>
    <w:p w:rsidR="00D379D4" w:rsidRDefault="00D379D4" w:rsidP="00D379D4">
      <w:pPr>
        <w:pStyle w:val="Heading2"/>
      </w:pPr>
      <w:r>
        <w:t>Open Design</w:t>
      </w:r>
    </w:p>
    <w:p w:rsidR="00A72EE2" w:rsidRDefault="00E449B3" w:rsidP="00CC7C21">
      <w:pPr>
        <w:shd w:val="clear" w:color="auto" w:fill="FFFFFF"/>
        <w:spacing w:beforeLines="1" w:before="2" w:afterLines="1" w:after="2" w:line="199" w:lineRule="atLeast"/>
      </w:pPr>
      <w:r>
        <w:t>Traditionally</w:t>
      </w:r>
      <w:r w:rsidR="00592BC0">
        <w:t>,</w:t>
      </w:r>
      <w:r>
        <w:t xml:space="preserve"> the design of courses or learning interventions by teachers was based on their prior experiences and implicit beliefs. A new learning design methodology has emerged which aims to help teachers adopt a more design-based, rigorous and explicit approach. Initiated through the OU Learning Design Initiative,</w:t>
      </w:r>
      <w:r w:rsidR="00592BC0">
        <w:rPr>
          <w:rStyle w:val="FootnoteReference"/>
        </w:rPr>
        <w:footnoteReference w:id="7"/>
      </w:r>
      <w:r>
        <w:t xml:space="preserve"> a set of conceptual design representations have been created, which </w:t>
      </w:r>
      <w:r>
        <w:lastRenderedPageBreak/>
        <w:t xml:space="preserve">enable teachers to think beyond content to the activities and the learner experience. </w:t>
      </w:r>
    </w:p>
    <w:p w:rsidR="00A72EE2" w:rsidRDefault="00A72EE2" w:rsidP="00CC7C21">
      <w:pPr>
        <w:shd w:val="clear" w:color="auto" w:fill="FFFFFF"/>
        <w:spacing w:beforeLines="1" w:before="2" w:afterLines="1" w:after="2" w:line="199" w:lineRule="atLeast"/>
        <w:jc w:val="both"/>
      </w:pPr>
    </w:p>
    <w:p w:rsidR="00A72EE2" w:rsidRDefault="00592BC0" w:rsidP="00CC7C21">
      <w:pPr>
        <w:shd w:val="clear" w:color="auto" w:fill="FFFFFF"/>
        <w:spacing w:beforeLines="1" w:before="2" w:afterLines="1" w:after="2" w:line="199" w:lineRule="atLeast"/>
      </w:pPr>
      <w:r>
        <w:t>These can acts as mediating artefacts to help guide the teacher in their design practice and in particular enable them to make informed choices on the use of different technologies that are pedagogically effective. In addition, the created design representations can then act as mediating artefacts,</w:t>
      </w:r>
      <w:r>
        <w:fldChar w:fldCharType="begin"/>
      </w:r>
      <w:r>
        <w:instrText xml:space="preserve"> ADDIN EN.CITE &lt;EndNote&gt;&lt;Cite&gt;&lt;Author&gt;Conole&lt;/Author&gt;&lt;Year&gt;2008&lt;/Year&gt;&lt;RecNum&gt;221&lt;/RecNum&gt;&lt;DisplayText&gt;(Conole 2008)&lt;/DisplayText&gt;&lt;record&gt;&lt;rec-number&gt;221&lt;/rec-number&gt;&lt;foreign-keys&gt;&lt;key app="EN" db-id="2errrtwrme9dt5e5fpyv5pta2fzsx5vrd0zz"&gt;221&lt;/key&gt;&lt;/foreign-keys&gt;&lt;ref-type name="Book Section"&gt;5&lt;/ref-type&gt;&lt;contributors&gt;&lt;authors&gt;&lt;author&gt;Conole, G.&lt;/author&gt;&lt;/authors&gt;&lt;/contributors&gt;&lt;titles&gt;&lt;title&gt;Capturing practice, the role of mediating artefacts in learning design&lt;/title&gt;&lt;secondary-title&gt;In L. Lockyer, S. Bennett, S. Agostinhi and B. Harper Handbook of learning designs and learning objects&lt;/secondary-title&gt;&lt;/titles&gt;&lt;dates&gt;&lt;year&gt;2008&lt;/year&gt;&lt;/dates&gt;&lt;publisher&gt;IGI Global&lt;/publisher&gt;&lt;urls&gt;&lt;/urls&gt;&lt;/record&gt;&lt;/Cite&gt;&lt;/EndNote&gt;</w:instrText>
      </w:r>
      <w:r>
        <w:fldChar w:fldCharType="separate"/>
      </w:r>
      <w:r>
        <w:rPr>
          <w:noProof/>
        </w:rPr>
        <w:t>(</w:t>
      </w:r>
      <w:hyperlink w:anchor="_ENREF_11" w:tooltip="Conole, 2008 #221" w:history="1">
        <w:r w:rsidR="009C7F84">
          <w:rPr>
            <w:noProof/>
          </w:rPr>
          <w:t>Conole 2008</w:t>
        </w:r>
      </w:hyperlink>
      <w:r>
        <w:rPr>
          <w:noProof/>
        </w:rPr>
        <w:t>)</w:t>
      </w:r>
      <w:r>
        <w:fldChar w:fldCharType="end"/>
      </w:r>
      <w:r>
        <w:t xml:space="preserve"> which can be shared and discussed with others. </w:t>
      </w:r>
    </w:p>
    <w:p w:rsidR="00A72EE2" w:rsidRDefault="00A72EE2" w:rsidP="00CC7C21">
      <w:pPr>
        <w:shd w:val="clear" w:color="auto" w:fill="FFFFFF"/>
        <w:spacing w:beforeLines="1" w:before="2" w:afterLines="1" w:after="2" w:line="199" w:lineRule="atLeast"/>
        <w:jc w:val="both"/>
      </w:pPr>
    </w:p>
    <w:p w:rsidR="00A72EE2" w:rsidRDefault="00650848" w:rsidP="00CC7C21">
      <w:pPr>
        <w:shd w:val="clear" w:color="auto" w:fill="FFFFFF"/>
        <w:spacing w:beforeLines="1" w:before="2" w:afterLines="1" w:after="2" w:line="199" w:lineRule="atLeast"/>
      </w:pPr>
      <w:r>
        <w:t xml:space="preserve">The design presentations are deceptively simple, but are based on empirical evidence and good pedagogy. A range of representations has been developed. </w:t>
      </w:r>
      <w:proofErr w:type="spellStart"/>
      <w:r>
        <w:t>Conole</w:t>
      </w:r>
      <w:proofErr w:type="spellEnd"/>
      <w:r>
        <w:t xml:space="preserve"> </w:t>
      </w:r>
      <w:r>
        <w:fldChar w:fldCharType="begin"/>
      </w:r>
      <w:r>
        <w:instrText xml:space="preserve"> ADDIN EN.CITE &lt;EndNote&gt;&lt;Cite ExcludeAuth="1"&gt;&lt;Author&gt;Conole&lt;/Author&gt;&lt;Year&gt;Forthcoming&lt;/Year&gt;&lt;RecNum&gt;585&lt;/RecNum&gt;&lt;DisplayText&gt;(Forthcoming)&lt;/DisplayText&gt;&lt;record&gt;&lt;rec-number&gt;585&lt;/rec-number&gt;&lt;foreign-keys&gt;&lt;key app="EN" db-id="2errrtwrme9dt5e5fpyv5pta2fzsx5vrd0zz"&gt;585&lt;/key&gt;&lt;/foreign-keys&gt;&lt;ref-type name="Book"&gt;6&lt;/ref-type&gt;&lt;contributors&gt;&lt;authors&gt;&lt;author&gt;Conole, G.&lt;/author&gt;&lt;/authors&gt;&lt;/contributors&gt;&lt;titles&gt;&lt;title&gt;Designing for learning in an open world&lt;/title&gt;&lt;/titles&gt;&lt;dates&gt;&lt;year&gt;Forthcoming&lt;/year&gt;&lt;/dates&gt;&lt;pub-location&gt;New York&lt;/pub-location&gt;&lt;publisher&gt;Springer&lt;/publisher&gt;&lt;urls&gt;&lt;/urls&gt;&lt;/record&gt;&lt;/Cite&gt;&lt;/EndNote&gt;</w:instrText>
      </w:r>
      <w:r>
        <w:fldChar w:fldCharType="separate"/>
      </w:r>
      <w:r>
        <w:rPr>
          <w:noProof/>
        </w:rPr>
        <w:t>(</w:t>
      </w:r>
      <w:hyperlink w:anchor="_ENREF_13" w:tooltip="Conole, Forthcoming #585" w:history="1">
        <w:r w:rsidR="009C7F84">
          <w:rPr>
            <w:noProof/>
          </w:rPr>
          <w:t>Forthcoming</w:t>
        </w:r>
      </w:hyperlink>
      <w:r>
        <w:rPr>
          <w:noProof/>
        </w:rPr>
        <w:t>)</w:t>
      </w:r>
      <w:r>
        <w:fldChar w:fldCharType="end"/>
      </w:r>
      <w:r>
        <w:t xml:space="preserve"> describes the </w:t>
      </w:r>
      <w:proofErr w:type="spellStart"/>
      <w:r>
        <w:t>rational</w:t>
      </w:r>
      <w:proofErr w:type="spellEnd"/>
      <w:r>
        <w:t xml:space="preserve"> behind the development of this learning design methodology and more detail on the design representations.  </w:t>
      </w:r>
    </w:p>
    <w:p w:rsidR="00A72EE2" w:rsidRDefault="00A72EE2" w:rsidP="00CC7C21">
      <w:pPr>
        <w:shd w:val="clear" w:color="auto" w:fill="FFFFFF"/>
        <w:spacing w:beforeLines="1" w:before="2" w:afterLines="1" w:after="2" w:line="199" w:lineRule="atLeast"/>
        <w:jc w:val="both"/>
      </w:pPr>
    </w:p>
    <w:p w:rsidR="00A72EE2" w:rsidRDefault="00964911" w:rsidP="00CC7C21">
      <w:pPr>
        <w:shd w:val="clear" w:color="auto" w:fill="FFFFFF"/>
        <w:spacing w:beforeLines="1" w:before="2" w:afterLines="1" w:after="2" w:line="199" w:lineRule="atLeast"/>
      </w:pPr>
      <w:r>
        <w:t>The resources and activities created as part of OULDI have recently been combined with the work that Leicester University has developed through a series of Carpe Diem learning design workshops. These in particular focus around e-</w:t>
      </w:r>
      <w:proofErr w:type="spellStart"/>
      <w:r>
        <w:t>tivities</w:t>
      </w:r>
      <w:proofErr w:type="spellEnd"/>
      <w:r>
        <w:t xml:space="preserve"> and the crea</w:t>
      </w:r>
      <w:r w:rsidR="0032473D">
        <w:t>tion of a learning design story</w:t>
      </w:r>
      <w:r>
        <w:t>board.</w:t>
      </w:r>
      <w:r w:rsidR="0032473D">
        <w:t xml:space="preserve"> The result is a new 7Cs of design and delivery </w:t>
      </w:r>
      <w:r w:rsidR="0032473D" w:rsidRPr="0032473D">
        <w:t xml:space="preserve">framework </w:t>
      </w:r>
      <w:r w:rsidR="0032473D" w:rsidRPr="0032473D">
        <w:fldChar w:fldCharType="begin"/>
      </w:r>
      <w:r w:rsidR="0032473D" w:rsidRPr="0032473D">
        <w:instrText xml:space="preserve"> ADDIN EN.CITE &lt;EndNote&gt;&lt;Cite&gt;&lt;Author&gt;Armellini&lt;/Author&gt;&lt;Year&gt;2012&lt;/Year&gt;&lt;RecNum&gt;617&lt;/RecNum&gt;&lt;DisplayText&gt;(Armellini 2012; Conole 2012)&lt;/DisplayText&gt;&lt;record&gt;&lt;rec-number&gt;617&lt;/rec-number&gt;&lt;foreign-keys&gt;&lt;key app="EN" db-id="2errrtwrme9dt5e5fpyv5pta2fzsx5vrd0zz"&gt;617&lt;/key&gt;&lt;/foreign-keys&gt;&lt;ref-type name="Blog"&gt;56&lt;/ref-type&gt;&lt;contributors&gt;&lt;authors&gt;&lt;author&gt;Armellini, A.&lt;/author&gt;&lt;/authors&gt;&lt;/contributors&gt;&lt;titles&gt;&lt;title&gt;Carpe Diem: the 7Cs of design and delivery&lt;/title&gt;&lt;secondary-title&gt;Beyond Distance Research Alliance blog&lt;/secondary-title&gt;&lt;/titles&gt;&lt;number&gt;7th February 2012&lt;/number&gt;&lt;dates&gt;&lt;year&gt;2012&lt;/year&gt;&lt;/dates&gt;&lt;urls&gt;&lt;related-urls&gt;&lt;url&gt;http://beyonddistance.wordpress.com/2012/02/07/carpe-diem-the-7cs-of-design-and-delivery/&lt;/url&gt;&lt;/related-urls&gt;&lt;/urls&gt;&lt;/record&gt;&lt;/Cite&gt;&lt;Cite&gt;&lt;Author&gt;Conole&lt;/Author&gt;&lt;Year&gt;2012&lt;/Year&gt;&lt;RecNum&gt;616&lt;/RecNum&gt;&lt;record&gt;&lt;rec-number&gt;616&lt;/rec-number&gt;&lt;foreign-keys&gt;&lt;key app="EN" db-id="2errrtwrme9dt5e5fpyv5pta2fzsx5vrd0zz"&gt;616&lt;/key&gt;&lt;/foreign-keys&gt;&lt;ref-type name="Blog"&gt;56&lt;/ref-type&gt;&lt;contributors&gt;&lt;authors&gt;&lt;author&gt;Conole, G.&lt;/author&gt;&lt;/authors&gt;&lt;/contributors&gt;&lt;titles&gt;&lt;title&gt;The 7Cs of design and delivery&lt;/title&gt;&lt;secondary-title&gt;e4innovation.com&lt;/secondary-title&gt;&lt;/titles&gt;&lt;number&gt;6th February 2012&lt;/number&gt;&lt;dates&gt;&lt;year&gt;2012&lt;/year&gt;&lt;/dates&gt;&lt;urls&gt;&lt;related-urls&gt;&lt;url&gt;http://e4innovation.com/?p=520&lt;/url&gt;&lt;/related-urls&gt;&lt;/urls&gt;&lt;/record&gt;&lt;/Cite&gt;&lt;/EndNote&gt;</w:instrText>
      </w:r>
      <w:r w:rsidR="0032473D" w:rsidRPr="0032473D">
        <w:fldChar w:fldCharType="separate"/>
      </w:r>
      <w:r w:rsidR="0032473D" w:rsidRPr="0032473D">
        <w:rPr>
          <w:noProof/>
        </w:rPr>
        <w:t>(</w:t>
      </w:r>
      <w:hyperlink w:anchor="_ENREF_3" w:tooltip="Armellini, 2012 #617" w:history="1">
        <w:r w:rsidR="009C7F84" w:rsidRPr="0032473D">
          <w:rPr>
            <w:noProof/>
          </w:rPr>
          <w:t>Armellini 2012</w:t>
        </w:r>
      </w:hyperlink>
      <w:r w:rsidR="0032473D" w:rsidRPr="0032473D">
        <w:rPr>
          <w:noProof/>
        </w:rPr>
        <w:t xml:space="preserve">; </w:t>
      </w:r>
      <w:hyperlink w:anchor="_ENREF_12" w:tooltip="Conole, 2012 #616" w:history="1">
        <w:r w:rsidR="009C7F84" w:rsidRPr="0032473D">
          <w:rPr>
            <w:noProof/>
          </w:rPr>
          <w:t>Conole 2012</w:t>
        </w:r>
      </w:hyperlink>
      <w:r w:rsidR="0032473D" w:rsidRPr="0032473D">
        <w:rPr>
          <w:noProof/>
        </w:rPr>
        <w:t>)</w:t>
      </w:r>
      <w:r w:rsidR="0032473D" w:rsidRPr="0032473D">
        <w:fldChar w:fldCharType="end"/>
      </w:r>
      <w:r w:rsidR="0032473D" w:rsidRPr="0032473D">
        <w:t xml:space="preserve">. </w:t>
      </w:r>
      <w:r w:rsidR="0032473D">
        <w:t>This consists of the following elements:</w:t>
      </w:r>
    </w:p>
    <w:p w:rsidR="0032473D" w:rsidRPr="0032473D" w:rsidRDefault="0032473D" w:rsidP="00CC7C21">
      <w:pPr>
        <w:shd w:val="clear" w:color="auto" w:fill="FFFFFF"/>
        <w:spacing w:beforeLines="1" w:before="2" w:afterLines="1" w:after="2" w:line="199" w:lineRule="atLeast"/>
        <w:jc w:val="both"/>
        <w:rPr>
          <w:color w:val="555555"/>
          <w:szCs w:val="13"/>
        </w:rPr>
      </w:pPr>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Conceptualise – which initiates the design process and consists of imagine, design and prepare.</w:t>
      </w:r>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Capture – which covers the ways in which search engines, OER repositories and social bookmarking can be used to find and collate relevant resources and activities.</w:t>
      </w:r>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 xml:space="preserve">Create – </w:t>
      </w:r>
      <w:proofErr w:type="gramStart"/>
      <w:r w:rsidRPr="0032473D">
        <w:rPr>
          <w:color w:val="000000" w:themeColor="text1"/>
        </w:rPr>
        <w:t>which covers both the creation of content and activities.</w:t>
      </w:r>
      <w:proofErr w:type="gramEnd"/>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Communicate – which covers how to moderate asynchronous and synchronous forums</w:t>
      </w:r>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 xml:space="preserve">Collaborate – </w:t>
      </w:r>
      <w:proofErr w:type="gramStart"/>
      <w:r w:rsidRPr="0032473D">
        <w:rPr>
          <w:color w:val="000000" w:themeColor="text1"/>
        </w:rPr>
        <w:t xml:space="preserve">which considers how tools like wikis, </w:t>
      </w:r>
      <w:proofErr w:type="spellStart"/>
      <w:r w:rsidRPr="0032473D">
        <w:rPr>
          <w:color w:val="000000" w:themeColor="text1"/>
        </w:rPr>
        <w:t>voicethread</w:t>
      </w:r>
      <w:proofErr w:type="spellEnd"/>
      <w:r w:rsidRPr="0032473D">
        <w:rPr>
          <w:color w:val="000000" w:themeColor="text1"/>
        </w:rPr>
        <w:t>, pirate pad can be used to foster collaboration and how to work in virtual teams.</w:t>
      </w:r>
      <w:proofErr w:type="gramEnd"/>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Consider – </w:t>
      </w:r>
      <w:proofErr w:type="gramStart"/>
      <w:r w:rsidRPr="0032473D">
        <w:rPr>
          <w:color w:val="000000" w:themeColor="text1"/>
        </w:rPr>
        <w:t>which covers the ways in which tools such as blogs, e-portfolios and</w:t>
      </w:r>
      <w:r>
        <w:rPr>
          <w:color w:val="000000" w:themeColor="text1"/>
        </w:rPr>
        <w:t xml:space="preserve"> </w:t>
      </w:r>
      <w:r w:rsidRPr="0032473D">
        <w:rPr>
          <w:color w:val="000000" w:themeColor="text1"/>
        </w:rPr>
        <w:t>Multiple Choice Questions (MCQs) can be used to promote reflection and different forms of assessment.</w:t>
      </w:r>
      <w:proofErr w:type="gramEnd"/>
    </w:p>
    <w:p w:rsidR="0032473D" w:rsidRPr="0032473D" w:rsidRDefault="0032473D" w:rsidP="00CC7C21">
      <w:pPr>
        <w:numPr>
          <w:ilvl w:val="0"/>
          <w:numId w:val="9"/>
        </w:numPr>
        <w:shd w:val="clear" w:color="auto" w:fill="FFFFFF"/>
        <w:spacing w:beforeLines="1" w:before="2" w:afterLines="1" w:after="2" w:line="199" w:lineRule="atLeast"/>
        <w:rPr>
          <w:color w:val="000000" w:themeColor="text1"/>
          <w:szCs w:val="13"/>
        </w:rPr>
      </w:pPr>
      <w:r w:rsidRPr="0032473D">
        <w:rPr>
          <w:color w:val="000000" w:themeColor="text1"/>
        </w:rPr>
        <w:t>Consolidate - where the participants take stock of what they have learnt and create an action plan for taking things forward.</w:t>
      </w:r>
    </w:p>
    <w:p w:rsidR="00964911" w:rsidRPr="0032473D" w:rsidRDefault="00964911" w:rsidP="00D379D4">
      <w:pPr>
        <w:rPr>
          <w:color w:val="000000" w:themeColor="text1"/>
        </w:rPr>
      </w:pPr>
    </w:p>
    <w:p w:rsidR="0032473D" w:rsidRDefault="0032473D" w:rsidP="0032473D">
      <w:pPr>
        <w:keepNext/>
      </w:pPr>
      <w:r>
        <w:rPr>
          <w:noProof/>
          <w:lang w:val="en-ZA" w:eastAsia="en-ZA"/>
        </w:rPr>
        <w:lastRenderedPageBreak/>
        <w:drawing>
          <wp:inline distT="0" distB="0" distL="0" distR="0">
            <wp:extent cx="5270500" cy="3947160"/>
            <wp:effectExtent l="25400" t="0" r="0" b="0"/>
            <wp:docPr id="5" name="Picture 4" descr="7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s.jpg"/>
                    <pic:cNvPicPr/>
                  </pic:nvPicPr>
                  <pic:blipFill>
                    <a:blip r:embed="rId10"/>
                    <a:stretch>
                      <a:fillRect/>
                    </a:stretch>
                  </pic:blipFill>
                  <pic:spPr>
                    <a:xfrm>
                      <a:off x="0" y="0"/>
                      <a:ext cx="5270500" cy="3947160"/>
                    </a:xfrm>
                    <a:prstGeom prst="rect">
                      <a:avLst/>
                    </a:prstGeom>
                  </pic:spPr>
                </pic:pic>
              </a:graphicData>
            </a:graphic>
          </wp:inline>
        </w:drawing>
      </w:r>
    </w:p>
    <w:p w:rsidR="00964911" w:rsidRDefault="0032473D" w:rsidP="0032473D">
      <w:pPr>
        <w:pStyle w:val="Caption"/>
      </w:pPr>
      <w:r>
        <w:t xml:space="preserve">Figure </w:t>
      </w:r>
      <w:r w:rsidR="00CA5400">
        <w:fldChar w:fldCharType="begin"/>
      </w:r>
      <w:r w:rsidR="00CA5400">
        <w:instrText xml:space="preserve"> SEQ Figure \* ARABIC </w:instrText>
      </w:r>
      <w:r w:rsidR="00CA5400">
        <w:fldChar w:fldCharType="separate"/>
      </w:r>
      <w:r w:rsidR="009C7F84">
        <w:rPr>
          <w:noProof/>
        </w:rPr>
        <w:t>2</w:t>
      </w:r>
      <w:r w:rsidR="00CA5400">
        <w:rPr>
          <w:noProof/>
        </w:rPr>
        <w:fldChar w:fldCharType="end"/>
      </w:r>
      <w:r>
        <w:t>: The 7Cs of design and delivery framework</w:t>
      </w:r>
    </w:p>
    <w:p w:rsidR="003E580C" w:rsidRDefault="00650848" w:rsidP="00D379D4">
      <w:r>
        <w:t xml:space="preserve">As an illustration of this approach, </w:t>
      </w:r>
      <w:r w:rsidR="00A72EE2">
        <w:t>four</w:t>
      </w:r>
      <w:r>
        <w:t xml:space="preserve"> design representations are described here, namely: the </w:t>
      </w:r>
      <w:r w:rsidR="00A72EE2">
        <w:t xml:space="preserve">course features, the course map, </w:t>
      </w:r>
      <w:r>
        <w:t>the pedagogy profile</w:t>
      </w:r>
      <w:r w:rsidR="00A72EE2">
        <w:t xml:space="preserve"> and the storyboard</w:t>
      </w:r>
      <w:r>
        <w:t>. The examples given are associated with the design of a module on lear</w:t>
      </w:r>
      <w:r w:rsidR="00084514">
        <w:t>ning design, as part of a new M</w:t>
      </w:r>
      <w:r>
        <w:t>aster</w:t>
      </w:r>
      <w:r w:rsidR="00084514">
        <w:t>’</w:t>
      </w:r>
      <w:r>
        <w:t xml:space="preserve">s in learning innovation, which is being developed at the </w:t>
      </w:r>
      <w:proofErr w:type="gramStart"/>
      <w:r>
        <w:t>university</w:t>
      </w:r>
      <w:proofErr w:type="gramEnd"/>
      <w:r>
        <w:t xml:space="preserve"> of Leicester. </w:t>
      </w:r>
    </w:p>
    <w:p w:rsidR="003E580C" w:rsidRDefault="003E580C" w:rsidP="00D379D4"/>
    <w:p w:rsidR="00F81F26" w:rsidRDefault="003E580C" w:rsidP="00D379D4">
      <w:r>
        <w:t xml:space="preserve">The first conceptual representation is the course features. With this view the designer is able to decide on a set of features that characterise the course, which they group into three: those features that are definitely included, those that are there to some extent and those that are not included. The designer is given a template in the tool </w:t>
      </w:r>
      <w:proofErr w:type="spellStart"/>
      <w:r>
        <w:t>linoit</w:t>
      </w:r>
      <w:proofErr w:type="spellEnd"/>
      <w:r>
        <w:t>,</w:t>
      </w:r>
      <w:r>
        <w:rPr>
          <w:rStyle w:val="FootnoteReference"/>
        </w:rPr>
        <w:footnoteReference w:id="8"/>
      </w:r>
      <w:r>
        <w:t xml:space="preserve"> which lists a suggested set of course features. They can then move this around and group into the three categories. It is also possible to add </w:t>
      </w:r>
      <w:proofErr w:type="gramStart"/>
      <w:r>
        <w:t>their own</w:t>
      </w:r>
      <w:proofErr w:type="gramEnd"/>
      <w:r>
        <w:t xml:space="preserve"> additional features. </w:t>
      </w:r>
      <w:r w:rsidR="0032473D">
        <w:t>Figure 3</w:t>
      </w:r>
      <w:r>
        <w:t xml:space="preserve"> shows the course features view for the learning design module. In the first group are characteristics such as practice-based, inclusion of e-</w:t>
      </w:r>
      <w:proofErr w:type="spellStart"/>
      <w:r>
        <w:t>tivities</w:t>
      </w:r>
      <w:proofErr w:type="spellEnd"/>
      <w:r>
        <w:t xml:space="preserve"> and podcasts, theory-based and empirically based, collaborative, etc. Features that figure to a minor extent include reflective blogs</w:t>
      </w:r>
      <w:proofErr w:type="gramStart"/>
      <w:r>
        <w:t>,,</w:t>
      </w:r>
      <w:proofErr w:type="gramEnd"/>
      <w:r>
        <w:t xml:space="preserve"> student autonomy and rapid feedback. Those features that are not involved include: one-to-one tutor</w:t>
      </w:r>
      <w:r w:rsidR="00F81F26">
        <w:t xml:space="preserve">ials, exams and portfolios. </w:t>
      </w:r>
    </w:p>
    <w:p w:rsidR="00F81F26" w:rsidRDefault="00F81F26" w:rsidP="00D379D4"/>
    <w:p w:rsidR="00F81F26" w:rsidRDefault="00F81F26" w:rsidP="00F81F26">
      <w:pPr>
        <w:keepNext/>
      </w:pPr>
      <w:r>
        <w:rPr>
          <w:noProof/>
          <w:lang w:val="en-ZA" w:eastAsia="en-ZA"/>
        </w:rPr>
        <w:lastRenderedPageBreak/>
        <w:drawing>
          <wp:inline distT="0" distB="0" distL="0" distR="0">
            <wp:extent cx="5270500" cy="2149475"/>
            <wp:effectExtent l="25400" t="0" r="0" b="0"/>
            <wp:docPr id="2" name="Picture 1" descr="course_fea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features.jpg"/>
                    <pic:cNvPicPr/>
                  </pic:nvPicPr>
                  <pic:blipFill>
                    <a:blip r:embed="rId11"/>
                    <a:stretch>
                      <a:fillRect/>
                    </a:stretch>
                  </pic:blipFill>
                  <pic:spPr>
                    <a:xfrm>
                      <a:off x="0" y="0"/>
                      <a:ext cx="5270500" cy="2149475"/>
                    </a:xfrm>
                    <a:prstGeom prst="rect">
                      <a:avLst/>
                    </a:prstGeom>
                  </pic:spPr>
                </pic:pic>
              </a:graphicData>
            </a:graphic>
          </wp:inline>
        </w:drawing>
      </w:r>
    </w:p>
    <w:p w:rsidR="00D379D4" w:rsidRDefault="00F81F26" w:rsidP="00F81F26">
      <w:pPr>
        <w:pStyle w:val="Caption"/>
      </w:pPr>
      <w:r>
        <w:t xml:space="preserve">Figure </w:t>
      </w:r>
      <w:r w:rsidR="00CA5400">
        <w:fldChar w:fldCharType="begin"/>
      </w:r>
      <w:r w:rsidR="00CA5400">
        <w:instrText xml:space="preserve"> SEQ Figure \* ARABIC </w:instrText>
      </w:r>
      <w:r w:rsidR="00CA5400">
        <w:fldChar w:fldCharType="separate"/>
      </w:r>
      <w:r w:rsidR="009C7F84">
        <w:rPr>
          <w:noProof/>
        </w:rPr>
        <w:t>3</w:t>
      </w:r>
      <w:r w:rsidR="00CA5400">
        <w:rPr>
          <w:noProof/>
        </w:rPr>
        <w:fldChar w:fldCharType="end"/>
      </w:r>
      <w:r>
        <w:t>: The course features view for a learning design module</w:t>
      </w:r>
    </w:p>
    <w:p w:rsidR="0089503C" w:rsidRDefault="00F81F26" w:rsidP="00F81F26">
      <w:r>
        <w:t xml:space="preserve">The colour of the </w:t>
      </w:r>
      <w:r w:rsidR="00D727C8">
        <w:t xml:space="preserve">virtual </w:t>
      </w:r>
      <w:r>
        <w:t>stick</w:t>
      </w:r>
      <w:r w:rsidR="00D727C8">
        <w:t>y</w:t>
      </w:r>
      <w:r>
        <w:t xml:space="preserve"> notes is significant and relates to the second of the conceptual design representations</w:t>
      </w:r>
      <w:r w:rsidR="00D727C8">
        <w:t>, the course view map</w:t>
      </w:r>
      <w:r>
        <w:t>.</w:t>
      </w:r>
      <w:r w:rsidR="00D727C8">
        <w:t xml:space="preserve"> This consists of four aspects: the type of guidance and support offered on the course or module (orange), the type of content and activities that the students will engage with, the communication and collaborative opportunities (green) and evidence of reflection and demonstration (purple).</w:t>
      </w:r>
      <w:r>
        <w:t xml:space="preserve"> </w:t>
      </w:r>
      <w:r w:rsidR="0032473D">
        <w:t xml:space="preserve"> Figure 4</w:t>
      </w:r>
      <w:r w:rsidR="00D727C8">
        <w:t xml:space="preserve"> shows the completed course map view for the learning design module. </w:t>
      </w:r>
      <w:r w:rsidR="0089503C">
        <w:t xml:space="preserve">For each of the four categories the designer lists what tools and resources students will be using, as well as describing the roles and responsibilities of those involved and any prerequisites or special features that are promoted. So for example in this case there are links to relevant course resources and guidance in the guidance and support box, podcasts and </w:t>
      </w:r>
      <w:proofErr w:type="spellStart"/>
      <w:r w:rsidR="0089503C">
        <w:t>slidecasts</w:t>
      </w:r>
      <w:proofErr w:type="spellEnd"/>
      <w:r w:rsidR="0089503C">
        <w:t xml:space="preserve"> are listed un</w:t>
      </w:r>
      <w:r w:rsidR="009C15CF">
        <w:t xml:space="preserve">der the content and activities box, along with links to relevant resources such as the OULDI site. </w:t>
      </w:r>
      <w:r w:rsidR="0006635A">
        <w:t>They are expected to keep a reflective blog, which is an important element of reflection and demonstration. Finally, f</w:t>
      </w:r>
      <w:r w:rsidR="009C15CF">
        <w:t xml:space="preserve">or communication and collaboration, </w:t>
      </w:r>
      <w:r w:rsidR="0006635A">
        <w:t xml:space="preserve">they will use a variety of tools including a forum, a social networking site, </w:t>
      </w:r>
      <w:proofErr w:type="spellStart"/>
      <w:r w:rsidR="0006635A">
        <w:t>Cloudworks</w:t>
      </w:r>
      <w:proofErr w:type="spellEnd"/>
      <w:r w:rsidR="0006635A">
        <w:rPr>
          <w:rStyle w:val="FootnoteReference"/>
        </w:rPr>
        <w:footnoteReference w:id="9"/>
      </w:r>
      <w:r w:rsidR="0006635A">
        <w:t xml:space="preserve"> and the </w:t>
      </w:r>
      <w:proofErr w:type="spellStart"/>
      <w:r w:rsidR="0006635A">
        <w:t>linoit</w:t>
      </w:r>
      <w:proofErr w:type="spellEnd"/>
      <w:r w:rsidR="0006635A">
        <w:t xml:space="preserve"> tool. </w:t>
      </w:r>
      <w:r w:rsidR="006A034F">
        <w:t>The template for the course map view is available online</w:t>
      </w:r>
      <w:r w:rsidR="00AB6A2A">
        <w:t>.</w:t>
      </w:r>
      <w:r w:rsidR="00AB6A2A">
        <w:rPr>
          <w:rStyle w:val="FootnoteReference"/>
        </w:rPr>
        <w:footnoteReference w:id="10"/>
      </w:r>
      <w:r w:rsidR="006A034F">
        <w:t xml:space="preserve"> </w:t>
      </w:r>
    </w:p>
    <w:p w:rsidR="0089503C" w:rsidRDefault="0089503C" w:rsidP="00F81F26"/>
    <w:p w:rsidR="0089503C" w:rsidRDefault="0089503C" w:rsidP="0089503C">
      <w:pPr>
        <w:keepNext/>
      </w:pPr>
      <w:r>
        <w:rPr>
          <w:noProof/>
          <w:lang w:val="en-ZA" w:eastAsia="en-ZA"/>
        </w:rPr>
        <w:lastRenderedPageBreak/>
        <w:drawing>
          <wp:inline distT="0" distB="0" distL="0" distR="0">
            <wp:extent cx="5270500" cy="3951605"/>
            <wp:effectExtent l="25400" t="0" r="0" b="0"/>
            <wp:docPr id="3" name="Picture 2" descr="course_view_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_view_ld.png"/>
                    <pic:cNvPicPr/>
                  </pic:nvPicPr>
                  <pic:blipFill>
                    <a:blip r:embed="rId12"/>
                    <a:stretch>
                      <a:fillRect/>
                    </a:stretch>
                  </pic:blipFill>
                  <pic:spPr>
                    <a:xfrm>
                      <a:off x="0" y="0"/>
                      <a:ext cx="5270500" cy="3951605"/>
                    </a:xfrm>
                    <a:prstGeom prst="rect">
                      <a:avLst/>
                    </a:prstGeom>
                  </pic:spPr>
                </pic:pic>
              </a:graphicData>
            </a:graphic>
          </wp:inline>
        </w:drawing>
      </w:r>
    </w:p>
    <w:p w:rsidR="00F81F26" w:rsidRDefault="0089503C" w:rsidP="0089503C">
      <w:pPr>
        <w:pStyle w:val="Caption"/>
      </w:pPr>
      <w:r>
        <w:t xml:space="preserve">Figure </w:t>
      </w:r>
      <w:r w:rsidR="00CA5400">
        <w:fldChar w:fldCharType="begin"/>
      </w:r>
      <w:r w:rsidR="00CA5400">
        <w:instrText xml:space="preserve"> SEQ Figure \* ARABIC </w:instrText>
      </w:r>
      <w:r w:rsidR="00CA5400">
        <w:fldChar w:fldCharType="separate"/>
      </w:r>
      <w:r w:rsidR="009C7F84">
        <w:rPr>
          <w:noProof/>
        </w:rPr>
        <w:t>4</w:t>
      </w:r>
      <w:r w:rsidR="00CA5400">
        <w:rPr>
          <w:noProof/>
        </w:rPr>
        <w:fldChar w:fldCharType="end"/>
      </w:r>
      <w:r>
        <w:t>: The course map view for the learning design module</w:t>
      </w:r>
    </w:p>
    <w:p w:rsidR="00A72EE2" w:rsidRDefault="0006635A" w:rsidP="0006635A">
      <w:r>
        <w:t>The next conceptual design view is the pedagogy or activity profile. This enables the designer to ascertain the percentage of time learners will spend on different kinds of activities, which are characteri</w:t>
      </w:r>
      <w:r w:rsidRPr="00AB6A2A">
        <w:t>sed as follows:</w:t>
      </w:r>
    </w:p>
    <w:p w:rsidR="0006635A" w:rsidRPr="00AB6A2A" w:rsidRDefault="0006635A" w:rsidP="0006635A"/>
    <w:p w:rsidR="0006635A" w:rsidRPr="00AB6A2A" w:rsidRDefault="0006635A" w:rsidP="0006635A">
      <w:pPr>
        <w:pStyle w:val="ListParagraph"/>
        <w:numPr>
          <w:ilvl w:val="0"/>
          <w:numId w:val="7"/>
        </w:numPr>
        <w:rPr>
          <w:sz w:val="24"/>
        </w:rPr>
      </w:pPr>
      <w:r w:rsidRPr="00AB6A2A">
        <w:rPr>
          <w:sz w:val="24"/>
        </w:rPr>
        <w:t>Assimilative – reading, viewing or listening to something</w:t>
      </w:r>
    </w:p>
    <w:p w:rsidR="0006635A" w:rsidRPr="00AB6A2A" w:rsidRDefault="0006635A" w:rsidP="0006635A">
      <w:pPr>
        <w:pStyle w:val="ListParagraph"/>
        <w:numPr>
          <w:ilvl w:val="0"/>
          <w:numId w:val="7"/>
        </w:numPr>
        <w:rPr>
          <w:sz w:val="24"/>
        </w:rPr>
      </w:pPr>
      <w:r w:rsidRPr="00AB6A2A">
        <w:rPr>
          <w:sz w:val="24"/>
        </w:rPr>
        <w:t xml:space="preserve">Information handling – for example manipulating data in a </w:t>
      </w:r>
      <w:proofErr w:type="spellStart"/>
      <w:r w:rsidRPr="00AB6A2A">
        <w:rPr>
          <w:sz w:val="24"/>
        </w:rPr>
        <w:t>spreadsheet</w:t>
      </w:r>
      <w:proofErr w:type="spellEnd"/>
    </w:p>
    <w:p w:rsidR="0006635A" w:rsidRPr="00AB6A2A" w:rsidRDefault="0006635A" w:rsidP="0006635A">
      <w:pPr>
        <w:pStyle w:val="ListParagraph"/>
        <w:numPr>
          <w:ilvl w:val="0"/>
          <w:numId w:val="7"/>
        </w:numPr>
        <w:rPr>
          <w:sz w:val="24"/>
        </w:rPr>
      </w:pPr>
      <w:r w:rsidRPr="00AB6A2A">
        <w:rPr>
          <w:sz w:val="24"/>
        </w:rPr>
        <w:t>Communication – with peer learners and tutors</w:t>
      </w:r>
    </w:p>
    <w:p w:rsidR="0006635A" w:rsidRPr="00AB6A2A" w:rsidRDefault="0006635A" w:rsidP="0006635A">
      <w:pPr>
        <w:pStyle w:val="ListParagraph"/>
        <w:numPr>
          <w:ilvl w:val="0"/>
          <w:numId w:val="7"/>
        </w:numPr>
        <w:rPr>
          <w:sz w:val="24"/>
        </w:rPr>
      </w:pPr>
      <w:r w:rsidRPr="00AB6A2A">
        <w:rPr>
          <w:sz w:val="24"/>
        </w:rPr>
        <w:t>Productive – creating an artefact of some kind</w:t>
      </w:r>
    </w:p>
    <w:p w:rsidR="0006635A" w:rsidRPr="00AB6A2A" w:rsidRDefault="0006635A" w:rsidP="0006635A">
      <w:pPr>
        <w:pStyle w:val="ListParagraph"/>
        <w:numPr>
          <w:ilvl w:val="0"/>
          <w:numId w:val="7"/>
        </w:numPr>
        <w:rPr>
          <w:sz w:val="24"/>
        </w:rPr>
      </w:pPr>
      <w:r w:rsidRPr="00AB6A2A">
        <w:rPr>
          <w:sz w:val="24"/>
        </w:rPr>
        <w:t>Experiential – practising or mimicking</w:t>
      </w:r>
    </w:p>
    <w:p w:rsidR="0006635A" w:rsidRPr="00AB6A2A" w:rsidRDefault="0006635A" w:rsidP="0006635A">
      <w:pPr>
        <w:pStyle w:val="ListParagraph"/>
        <w:numPr>
          <w:ilvl w:val="0"/>
          <w:numId w:val="7"/>
        </w:numPr>
        <w:rPr>
          <w:sz w:val="24"/>
        </w:rPr>
      </w:pPr>
      <w:r w:rsidRPr="00AB6A2A">
        <w:rPr>
          <w:sz w:val="24"/>
        </w:rPr>
        <w:t>Adaptive – modelling or simulation</w:t>
      </w:r>
    </w:p>
    <w:p w:rsidR="0006635A" w:rsidRDefault="0006635A" w:rsidP="0006635A">
      <w:r>
        <w:t>In addition, they calculate the amount of time spent on</w:t>
      </w:r>
      <w:r w:rsidR="0032473D">
        <w:t xml:space="preserve"> assessment activities. Figure 5</w:t>
      </w:r>
      <w:r>
        <w:t xml:space="preserve"> shows the activity profile for the learning design module. The students are engaging in a lot of assimilative, information handing and communication activities, and not much in terms of experiential or adaptive activities. </w:t>
      </w:r>
      <w:r w:rsidR="006A034F">
        <w:t>This view was created using an online widget.</w:t>
      </w:r>
      <w:r w:rsidR="006A034F">
        <w:rPr>
          <w:rStyle w:val="FootnoteReference"/>
        </w:rPr>
        <w:footnoteReference w:id="11"/>
      </w:r>
    </w:p>
    <w:p w:rsidR="0006635A" w:rsidRDefault="0006635A" w:rsidP="0006635A"/>
    <w:p w:rsidR="006A034F" w:rsidRDefault="006A034F" w:rsidP="006A034F">
      <w:pPr>
        <w:keepNext/>
      </w:pPr>
      <w:r>
        <w:rPr>
          <w:noProof/>
          <w:lang w:val="en-ZA" w:eastAsia="en-ZA"/>
        </w:rPr>
        <w:lastRenderedPageBreak/>
        <w:drawing>
          <wp:inline distT="0" distB="0" distL="0" distR="0">
            <wp:extent cx="5270500" cy="2431415"/>
            <wp:effectExtent l="25400" t="0" r="0" b="0"/>
            <wp:docPr id="4" name="Picture 3" descr="activity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profile.png"/>
                    <pic:cNvPicPr/>
                  </pic:nvPicPr>
                  <pic:blipFill>
                    <a:blip r:embed="rId13"/>
                    <a:stretch>
                      <a:fillRect/>
                    </a:stretch>
                  </pic:blipFill>
                  <pic:spPr>
                    <a:xfrm>
                      <a:off x="0" y="0"/>
                      <a:ext cx="5270500" cy="2431415"/>
                    </a:xfrm>
                    <a:prstGeom prst="rect">
                      <a:avLst/>
                    </a:prstGeom>
                  </pic:spPr>
                </pic:pic>
              </a:graphicData>
            </a:graphic>
          </wp:inline>
        </w:drawing>
      </w:r>
    </w:p>
    <w:p w:rsidR="0006635A" w:rsidRDefault="006A034F" w:rsidP="006A034F">
      <w:pPr>
        <w:pStyle w:val="Caption"/>
      </w:pPr>
      <w:r>
        <w:t xml:space="preserve">Figure </w:t>
      </w:r>
      <w:r w:rsidR="00CA5400">
        <w:fldChar w:fldCharType="begin"/>
      </w:r>
      <w:r w:rsidR="00CA5400">
        <w:instrText xml:space="preserve"> SEQ Figure \* ARABIC </w:instrText>
      </w:r>
      <w:r w:rsidR="00CA5400">
        <w:fldChar w:fldCharType="separate"/>
      </w:r>
      <w:r w:rsidR="009C7F84">
        <w:rPr>
          <w:noProof/>
        </w:rPr>
        <w:t>5</w:t>
      </w:r>
      <w:r w:rsidR="00CA5400">
        <w:rPr>
          <w:noProof/>
        </w:rPr>
        <w:fldChar w:fldCharType="end"/>
      </w:r>
      <w:r>
        <w:t>: The activity profile for the learning design module</w:t>
      </w:r>
    </w:p>
    <w:p w:rsidR="00A72EE2" w:rsidRDefault="009A04CB" w:rsidP="009A04CB">
      <w:r>
        <w:t>The final view is the storyboard, which helps the designer put everything together. This includes mapping learning outcomes to activities and assessment elements, as well as a temporal sequence of activities and associated tools and resources.</w:t>
      </w:r>
      <w:r w:rsidR="0032473D">
        <w:t xml:space="preserve"> Figure 6 shows the storyboard for the learning design module. On the right hand side in blue are listed the 5 learning outcomes associated with the module. Topics for each week are listed in pink, e-</w:t>
      </w:r>
      <w:proofErr w:type="spellStart"/>
      <w:r w:rsidR="0032473D">
        <w:t>tivities</w:t>
      </w:r>
      <w:proofErr w:type="spellEnd"/>
      <w:r w:rsidR="0032473D">
        <w:t xml:space="preserve"> in green and assessments in yellow.</w:t>
      </w:r>
    </w:p>
    <w:p w:rsidR="0032473D" w:rsidRDefault="0032473D" w:rsidP="009A04CB"/>
    <w:p w:rsidR="0032473D" w:rsidRDefault="0032473D" w:rsidP="0032473D">
      <w:pPr>
        <w:keepNext/>
      </w:pPr>
      <w:r>
        <w:rPr>
          <w:noProof/>
          <w:lang w:val="en-ZA" w:eastAsia="en-ZA"/>
        </w:rPr>
        <w:drawing>
          <wp:inline distT="0" distB="0" distL="0" distR="0">
            <wp:extent cx="5270500" cy="2806700"/>
            <wp:effectExtent l="25400" t="0" r="0" b="0"/>
            <wp:docPr id="6" name="Picture 5" descr="story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y_board.jpg"/>
                    <pic:cNvPicPr/>
                  </pic:nvPicPr>
                  <pic:blipFill>
                    <a:blip r:embed="rId14"/>
                    <a:stretch>
                      <a:fillRect/>
                    </a:stretch>
                  </pic:blipFill>
                  <pic:spPr>
                    <a:xfrm>
                      <a:off x="0" y="0"/>
                      <a:ext cx="5270500" cy="2806700"/>
                    </a:xfrm>
                    <a:prstGeom prst="rect">
                      <a:avLst/>
                    </a:prstGeom>
                  </pic:spPr>
                </pic:pic>
              </a:graphicData>
            </a:graphic>
          </wp:inline>
        </w:drawing>
      </w:r>
    </w:p>
    <w:p w:rsidR="009A04CB" w:rsidRDefault="0032473D" w:rsidP="0032473D">
      <w:pPr>
        <w:pStyle w:val="Caption"/>
      </w:pPr>
      <w:r>
        <w:t xml:space="preserve">Figure </w:t>
      </w:r>
      <w:r w:rsidR="00CA5400">
        <w:fldChar w:fldCharType="begin"/>
      </w:r>
      <w:r w:rsidR="00CA5400">
        <w:instrText xml:space="preserve"> SEQ Figure \* ARABIC </w:instrText>
      </w:r>
      <w:r w:rsidR="00CA5400">
        <w:fldChar w:fldCharType="separate"/>
      </w:r>
      <w:r w:rsidR="009C7F84">
        <w:rPr>
          <w:noProof/>
        </w:rPr>
        <w:t>6</w:t>
      </w:r>
      <w:r w:rsidR="00CA5400">
        <w:rPr>
          <w:noProof/>
        </w:rPr>
        <w:fldChar w:fldCharType="end"/>
      </w:r>
      <w:r>
        <w:t>: The storyboard for the learning design module</w:t>
      </w:r>
    </w:p>
    <w:p w:rsidR="00AC0C75" w:rsidRDefault="00A72EE2" w:rsidP="00AC0C75">
      <w:pPr>
        <w:tabs>
          <w:tab w:val="left" w:pos="426"/>
        </w:tabs>
        <w:rPr>
          <w:rFonts w:ascii="Times New Roman" w:eastAsia="ヒラギノ角ゴ Pro W3" w:hAnsi="Times New Roman"/>
        </w:rPr>
      </w:pPr>
      <w:r>
        <w:t>More information and additional resources are available from the OULDI website,</w:t>
      </w:r>
      <w:r>
        <w:rPr>
          <w:rStyle w:val="FootnoteReference"/>
        </w:rPr>
        <w:footnoteReference w:id="12"/>
      </w:r>
      <w:r>
        <w:t xml:space="preserve"> and from the 7Cs OER resources website.</w:t>
      </w:r>
      <w:r>
        <w:rPr>
          <w:rStyle w:val="FootnoteReference"/>
        </w:rPr>
        <w:footnoteReference w:id="13"/>
      </w:r>
      <w:r w:rsidR="00AC0C75">
        <w:t xml:space="preserve"> Use of such learning design conceptual views potentially opens up and makes explicit the design process. </w:t>
      </w:r>
      <w:proofErr w:type="spellStart"/>
      <w:r w:rsidR="00AC0C75">
        <w:t>Conole</w:t>
      </w:r>
      <w:proofErr w:type="spellEnd"/>
      <w:r w:rsidR="00AC0C75">
        <w:t xml:space="preserve"> </w:t>
      </w:r>
      <w:r w:rsidR="00AC0C75">
        <w:fldChar w:fldCharType="begin"/>
      </w:r>
      <w:r w:rsidR="00AC0C75">
        <w:instrText xml:space="preserve"> ADDIN EN.CITE &lt;EndNote&gt;&lt;Cite ExcludeAuth="1"&gt;&lt;Author&gt;Conole&lt;/Author&gt;&lt;Year&gt;Forthcoming&lt;/Year&gt;&lt;RecNum&gt;577&lt;/RecNum&gt;&lt;DisplayText&gt;(Forthcoming)&lt;/DisplayText&gt;&lt;record&gt;&lt;rec-number&gt;577&lt;/rec-number&gt;&lt;foreign-keys&gt;&lt;key app="EN" db-id="2errrtwrme9dt5e5fpyv5pta2fzsx5vrd0zz"&gt;577&lt;/key&gt;&lt;/foreign-keys&gt;&lt;ref-type name="Book Section"&gt;5&lt;/ref-type&gt;&lt;contributors&gt;&lt;authors&gt;&lt;author&gt;Conole, G.&lt;/author&gt;&lt;/authors&gt;&lt;/contributors&gt;&lt;titles&gt;&lt;title&gt;The nature of openness&lt;/title&gt;&lt;secondary-title&gt;Designing for learning in an open world&lt;/secondary-title&gt;&lt;/titles&gt;&lt;section&gt;11&lt;/section&gt;&lt;dates&gt;&lt;year&gt;Forthcoming&lt;/year&gt;&lt;/dates&gt;&lt;pub-location&gt;New York&lt;/pub-location&gt;&lt;publisher&gt;Srpinger&lt;/publisher&gt;&lt;urls&gt;&lt;/urls&gt;&lt;/record&gt;&lt;/Cite&gt;&lt;/EndNote&gt;</w:instrText>
      </w:r>
      <w:r w:rsidR="00AC0C75">
        <w:fldChar w:fldCharType="separate"/>
      </w:r>
      <w:r w:rsidR="00AC0C75">
        <w:rPr>
          <w:noProof/>
        </w:rPr>
        <w:t>(</w:t>
      </w:r>
      <w:hyperlink w:anchor="_ENREF_14" w:tooltip="Conole, Forthcoming #577" w:history="1">
        <w:r w:rsidR="009C7F84">
          <w:rPr>
            <w:noProof/>
          </w:rPr>
          <w:t>Forthcoming</w:t>
        </w:r>
      </w:hyperlink>
      <w:r w:rsidR="00AC0C75">
        <w:rPr>
          <w:noProof/>
        </w:rPr>
        <w:t>)</w:t>
      </w:r>
      <w:r w:rsidR="00AC0C75">
        <w:fldChar w:fldCharType="end"/>
      </w:r>
      <w:r w:rsidR="00AC0C75">
        <w:t xml:space="preserve"> poses the following question: </w:t>
      </w:r>
      <w:r w:rsidR="00AC0C75">
        <w:rPr>
          <w:rFonts w:ascii="Times New Roman" w:eastAsia="ヒラギノ角ゴ Pro W3" w:hAnsi="Times New Roman"/>
        </w:rPr>
        <w:t xml:space="preserve">what would a vision of a truly open approach to design mean; beyond Open Educational Resources (OER) towards a </w:t>
      </w:r>
      <w:r w:rsidR="00AC0C75">
        <w:rPr>
          <w:rFonts w:ascii="Times New Roman" w:eastAsia="ヒラギノ角ゴ Pro W3" w:hAnsi="Times New Roman"/>
        </w:rPr>
        <w:lastRenderedPageBreak/>
        <w:t xml:space="preserve">more explicit representation and sharing of the whole design process? And puts forward the following future scenario for how an open design approach might be realised: </w:t>
      </w:r>
    </w:p>
    <w:p w:rsidR="00A72EE2" w:rsidRPr="00353FD4" w:rsidRDefault="00AC0C75" w:rsidP="00353FD4">
      <w:pPr>
        <w:ind w:left="720"/>
        <w:rPr>
          <w:rFonts w:ascii="Times New Roman" w:eastAsia="ヒラギノ角ゴ Pro W3" w:hAnsi="Times New Roman"/>
        </w:rPr>
      </w:pPr>
      <w:r>
        <w:rPr>
          <w:rFonts w:ascii="Times New Roman" w:eastAsia="ヒラギノ角ゴ Pro W3" w:hAnsi="Times New Roman"/>
          <w:sz w:val="22"/>
        </w:rPr>
        <w:t xml:space="preserve">A newly formed course team brainstorm their initial ideas for the course, using visual representations, which make conveying and sharing the essence of their ideas easy. They share this </w:t>
      </w:r>
      <w:proofErr w:type="spellStart"/>
      <w:r>
        <w:rPr>
          <w:rFonts w:ascii="Times New Roman" w:eastAsia="ヒラギノ角ゴ Pro W3" w:hAnsi="Times New Roman"/>
          <w:sz w:val="22"/>
        </w:rPr>
        <w:t>openingly</w:t>
      </w:r>
      <w:proofErr w:type="spellEnd"/>
      <w:r>
        <w:rPr>
          <w:rFonts w:ascii="Times New Roman" w:eastAsia="ヒラギノ角ゴ Pro W3" w:hAnsi="Times New Roman"/>
          <w:sz w:val="22"/>
        </w:rPr>
        <w:t xml:space="preserve"> with others, through appropriate Web 2.0 technologies. They invite comments – from other subject experts, from past students, and from potential students. They use the Web 2.0 spaces to continue to develop and refine their ideas; incorporating peer critique and leaving a visible audit trail of their design decisions and the development process.</w:t>
      </w:r>
    </w:p>
    <w:p w:rsidR="00D379D4" w:rsidRDefault="00D379D4" w:rsidP="00D379D4">
      <w:pPr>
        <w:pStyle w:val="Heading2"/>
      </w:pPr>
      <w:r>
        <w:t>Open Scholarship</w:t>
      </w:r>
    </w:p>
    <w:p w:rsidR="00353FD4" w:rsidRDefault="00353FD4" w:rsidP="00353FD4">
      <w:pPr>
        <w:rPr>
          <w:rFonts w:ascii="Times New Roman" w:hAnsi="Times New Roman"/>
        </w:rPr>
      </w:pPr>
      <w:r>
        <w:rPr>
          <w:rFonts w:ascii="Times New Roman" w:hAnsi="Times New Roman"/>
        </w:rPr>
        <w:t xml:space="preserve">New technologies have tremendous potential in terms of supporting more open digital scholarship practices. </w:t>
      </w:r>
      <w:proofErr w:type="spellStart"/>
      <w:r>
        <w:rPr>
          <w:rFonts w:ascii="Times New Roman" w:hAnsi="Times New Roman"/>
        </w:rPr>
        <w:t>Borgeman</w:t>
      </w:r>
      <w:proofErr w:type="spellEnd"/>
      <w:r>
        <w:rPr>
          <w:rFonts w:ascii="Times New Roman" w:hAnsi="Times New Roman"/>
        </w:rPr>
        <w:t xml:space="preserve"> argues that the Internet can facilitate distributed, data- and information-intensive collaborative research </w:t>
      </w:r>
      <w:r>
        <w:rPr>
          <w:rFonts w:ascii="Times New Roman" w:hAnsi="Times New Roman"/>
        </w:rPr>
        <w:fldChar w:fldCharType="begin"/>
      </w:r>
      <w:r>
        <w:rPr>
          <w:rFonts w:ascii="Times New Roman" w:hAnsi="Times New Roman"/>
        </w:rPr>
        <w:instrText xml:space="preserve"> ADDIN EN.CITE &lt;EndNote&gt;&lt;Cite&gt;&lt;Author&gt;Borgeman&lt;/Author&gt;&lt;Year&gt;2007&lt;/Year&gt;&lt;RecNum&gt;502&lt;/RecNum&gt;&lt;DisplayText&gt;(Borgeman 2007; Borgeman 2007)&lt;/DisplayText&gt;&lt;record&gt;&lt;rec-number&gt;502&lt;/rec-number&gt;&lt;foreign-keys&gt;&lt;key app="EN" db-id="2errrtwrme9dt5e5fpyv5pta2fzsx5vrd0zz"&gt;502&lt;/key&gt;&lt;/foreign-keys&gt;&lt;ref-type name="Book"&gt;6&lt;/ref-type&gt;&lt;contributors&gt;&lt;authors&gt;&lt;author&gt;Borgeman, C.&lt;/author&gt;&lt;/authors&gt;&lt;/contributors&gt;&lt;titles&gt;&lt;title&gt;Scholarship in the digital age: information, infrastructure and the internet&lt;/title&gt;&lt;/titles&gt;&lt;dates&gt;&lt;year&gt;2007&lt;/year&gt;&lt;/dates&gt;&lt;pub-location&gt;Hong Kong&lt;/pub-location&gt;&lt;publisher&gt;SNP Best-set Typesetter Ltd.&lt;/publisher&gt;&lt;urls&gt;&lt;/urls&gt;&lt;/record&gt;&lt;/Cite&gt;&lt;Cite&gt;&lt;Author&gt;Borgeman&lt;/Author&gt;&lt;Year&gt;2007&lt;/Year&gt;&lt;RecNum&gt;503&lt;/RecNum&gt;&lt;record&gt;&lt;rec-number&gt;503&lt;/rec-number&gt;&lt;foreign-keys&gt;&lt;key app="EN" db-id="2errrtwrme9dt5e5fpyv5pta2fzsx5vrd0zz"&gt;503&lt;/key&gt;&lt;/foreign-keys&gt;&lt;ref-type name="Book Section"&gt;5&lt;/ref-type&gt;&lt;contributors&gt;&lt;authors&gt;&lt;author&gt;Borgeman, C.&lt;/author&gt;&lt;/authors&gt;&lt;/contributors&gt;&lt;titles&gt;&lt;title&gt;The continuity of scholarly communication&lt;/title&gt;&lt;secondary-title&gt;Scholarship in the digital age: information, infrastructure and the Internet&lt;/secondary-title&gt;&lt;/titles&gt;&lt;dates&gt;&lt;year&gt;2007&lt;/year&gt;&lt;/dates&gt;&lt;pub-location&gt;Hong Kong&lt;/pub-location&gt;&lt;publisher&gt;SNP Best-set Typersetter Ltd.&lt;/publisher&gt;&lt;urls&gt;&lt;/urls&gt;&lt;/record&gt;&lt;/Cite&gt;&lt;/EndNote&gt;</w:instrText>
      </w:r>
      <w:r>
        <w:rPr>
          <w:rFonts w:ascii="Times New Roman" w:hAnsi="Times New Roman"/>
        </w:rPr>
        <w:fldChar w:fldCharType="separate"/>
      </w:r>
      <w:r>
        <w:rPr>
          <w:rFonts w:ascii="Times New Roman" w:hAnsi="Times New Roman"/>
          <w:noProof/>
        </w:rPr>
        <w:t>(</w:t>
      </w:r>
      <w:hyperlink w:anchor="_ENREF_5" w:tooltip="Borgeman, 2007 #502" w:history="1">
        <w:r w:rsidR="009C7F84">
          <w:rPr>
            <w:rFonts w:ascii="Times New Roman" w:hAnsi="Times New Roman"/>
            <w:noProof/>
          </w:rPr>
          <w:t>Borgeman 2007</w:t>
        </w:r>
      </w:hyperlink>
      <w:r>
        <w:rPr>
          <w:rFonts w:ascii="Times New Roman" w:hAnsi="Times New Roman"/>
          <w:noProof/>
        </w:rPr>
        <w:t xml:space="preserve">; </w:t>
      </w:r>
      <w:hyperlink w:anchor="_ENREF_4" w:tooltip="Borgeman, 2007 #503" w:history="1">
        <w:r w:rsidR="009C7F84">
          <w:rPr>
            <w:rFonts w:ascii="Times New Roman" w:hAnsi="Times New Roman"/>
            <w:noProof/>
          </w:rPr>
          <w:t>Borgeman 2007</w:t>
        </w:r>
      </w:hyperlink>
      <w:r>
        <w:rPr>
          <w:rFonts w:ascii="Times New Roman" w:hAnsi="Times New Roman"/>
          <w:noProof/>
        </w:rPr>
        <w:t>)</w:t>
      </w:r>
      <w:r>
        <w:rPr>
          <w:rFonts w:ascii="Times New Roman" w:hAnsi="Times New Roman"/>
        </w:rPr>
        <w:fldChar w:fldCharType="end"/>
      </w:r>
      <w:r>
        <w:rPr>
          <w:rFonts w:ascii="Times New Roman" w:hAnsi="Times New Roman"/>
        </w:rPr>
        <w:t xml:space="preserve">. Researchers now have access to literature in their field, a growing body of research data, and sophisticated research tools and services. They can collaborate with others around the world. Social and participatory media offer new mechanisms for researchers to communicate and disseminate their research and to engage in peer review and reflection. </w:t>
      </w:r>
      <w:proofErr w:type="spellStart"/>
      <w:r>
        <w:rPr>
          <w:rFonts w:ascii="Times New Roman" w:hAnsi="Times New Roman"/>
        </w:rPr>
        <w:t>Borgeman</w:t>
      </w:r>
      <w:proofErr w:type="spellEnd"/>
      <w:r>
        <w:rPr>
          <w:rFonts w:ascii="Times New Roman" w:hAnsi="Times New Roman"/>
        </w:rPr>
        <w:t xml:space="preserve"> argues that communication is the essence of scholarship, which is inherently a social activity, involving a wide range of public and private interactions within a research community (</w:t>
      </w:r>
      <w:proofErr w:type="spellStart"/>
      <w:r>
        <w:rPr>
          <w:rFonts w:ascii="Times New Roman" w:hAnsi="Times New Roman"/>
        </w:rPr>
        <w:t>Borgeman</w:t>
      </w:r>
      <w:proofErr w:type="spellEnd"/>
      <w:r>
        <w:rPr>
          <w:rFonts w:ascii="Times New Roman" w:hAnsi="Times New Roman"/>
        </w:rPr>
        <w:t xml:space="preserve">, 2007a, </w:t>
      </w:r>
      <w:proofErr w:type="spellStart"/>
      <w:r>
        <w:rPr>
          <w:rFonts w:ascii="Times New Roman" w:hAnsi="Times New Roman"/>
        </w:rPr>
        <w:t>Borgeman</w:t>
      </w:r>
      <w:proofErr w:type="spellEnd"/>
      <w:r>
        <w:rPr>
          <w:rFonts w:ascii="Times New Roman" w:hAnsi="Times New Roman"/>
        </w:rPr>
        <w:t xml:space="preserve">, 2007b). She argues that publication is part of a continuous cycle of reading, writing, discussing, searching, investigating, presenting, submitting and reviewing research. Today’s </w:t>
      </w:r>
      <w:proofErr w:type="gramStart"/>
      <w:r>
        <w:rPr>
          <w:rFonts w:ascii="Times New Roman" w:hAnsi="Times New Roman"/>
        </w:rPr>
        <w:t>technologies means</w:t>
      </w:r>
      <w:proofErr w:type="gramEnd"/>
      <w:r>
        <w:rPr>
          <w:rFonts w:ascii="Times New Roman" w:hAnsi="Times New Roman"/>
        </w:rPr>
        <w:t xml:space="preserve"> that researchers can communicate in a variety of ways with others and at a much larger scale than was possible before. </w:t>
      </w:r>
    </w:p>
    <w:p w:rsidR="00353FD4" w:rsidRDefault="00353FD4" w:rsidP="00353FD4">
      <w:pPr>
        <w:rPr>
          <w:rFonts w:ascii="Times New Roman" w:hAnsi="Times New Roman"/>
        </w:rPr>
      </w:pPr>
    </w:p>
    <w:p w:rsidR="00353FD4" w:rsidRDefault="00353FD4" w:rsidP="00353FD4">
      <w:pPr>
        <w:rPr>
          <w:rFonts w:ascii="Times New Roman" w:hAnsi="Times New Roman"/>
        </w:rPr>
      </w:pPr>
      <w:r>
        <w:rPr>
          <w:rFonts w:ascii="Times New Roman" w:hAnsi="Times New Roman"/>
        </w:rPr>
        <w:t xml:space="preserve">Weller </w:t>
      </w:r>
      <w:r>
        <w:rPr>
          <w:rFonts w:ascii="Times New Roman" w:hAnsi="Times New Roman"/>
        </w:rPr>
        <w:fldChar w:fldCharType="begin"/>
      </w:r>
      <w:r>
        <w:rPr>
          <w:rFonts w:ascii="Times New Roman" w:hAnsi="Times New Roman"/>
        </w:rPr>
        <w:instrText xml:space="preserve"> ADDIN EN.CITE &lt;EndNote&gt;&lt;Cite ExcludeAuth="1"&gt;&lt;Author&gt;Weller&lt;/Author&gt;&lt;Year&gt;2011&lt;/Year&gt;&lt;RecNum&gt;561&lt;/RecNum&gt;&lt;DisplayText&gt;(2011)&lt;/DisplayText&gt;&lt;record&gt;&lt;rec-number&gt;561&lt;/rec-number&gt;&lt;foreign-keys&gt;&lt;key app="EN" db-id="2errrtwrme9dt5e5fpyv5pta2fzsx5vrd0zz"&gt;561&lt;/key&gt;&lt;/foreign-keys&gt;&lt;ref-type name="Book"&gt;6&lt;/ref-type&gt;&lt;contributors&gt;&lt;authors&gt;&lt;author&gt;Weller, M.&lt;/author&gt;&lt;/authors&gt;&lt;/contributors&gt;&lt;titles&gt;&lt;title&gt;The digital scholar - how technology is changing academic practice&lt;/title&gt;&lt;/titles&gt;&lt;dates&gt;&lt;year&gt;2011&lt;/year&gt;&lt;/dates&gt;&lt;pub-location&gt;London&lt;/pub-location&gt;&lt;publisher&gt;Bloomsbury Academic&lt;/publisher&gt;&lt;urls&gt;&lt;/urls&gt;&lt;/record&gt;&lt;/Cite&gt;&lt;/EndNote&gt;</w:instrText>
      </w:r>
      <w:r>
        <w:rPr>
          <w:rFonts w:ascii="Times New Roman" w:hAnsi="Times New Roman"/>
        </w:rPr>
        <w:fldChar w:fldCharType="separate"/>
      </w:r>
      <w:r>
        <w:rPr>
          <w:rFonts w:ascii="Times New Roman" w:hAnsi="Times New Roman"/>
          <w:noProof/>
        </w:rPr>
        <w:t>(</w:t>
      </w:r>
      <w:hyperlink w:anchor="_ENREF_36" w:tooltip="Weller, 2011 #561" w:history="1">
        <w:r w:rsidR="009C7F84">
          <w:rPr>
            <w:rFonts w:ascii="Times New Roman" w:hAnsi="Times New Roman"/>
            <w:noProof/>
          </w:rPr>
          <w:t>2011</w:t>
        </w:r>
      </w:hyperlink>
      <w:r>
        <w:rPr>
          <w:rFonts w:ascii="Times New Roman" w:hAnsi="Times New Roman"/>
          <w:noProof/>
        </w:rPr>
        <w:t>)</w:t>
      </w:r>
      <w:r>
        <w:rPr>
          <w:rFonts w:ascii="Times New Roman" w:hAnsi="Times New Roman"/>
        </w:rPr>
        <w:fldChar w:fldCharType="end"/>
      </w:r>
      <w:r>
        <w:rPr>
          <w:rFonts w:ascii="Times New Roman" w:hAnsi="Times New Roman"/>
        </w:rPr>
        <w:t xml:space="preserve"> refers to Boyer’s definition of scholarship </w:t>
      </w:r>
      <w:r>
        <w:rPr>
          <w:rFonts w:ascii="Times New Roman" w:hAnsi="Times New Roman"/>
        </w:rPr>
        <w:fldChar w:fldCharType="begin"/>
      </w:r>
      <w:r>
        <w:rPr>
          <w:rFonts w:ascii="Times New Roman" w:hAnsi="Times New Roman"/>
        </w:rPr>
        <w:instrText xml:space="preserve"> ADDIN EN.CITE &lt;EndNote&gt;&lt;Cite&gt;&lt;Author&gt;Boyer&lt;/Author&gt;&lt;Year&gt;1990&lt;/Year&gt;&lt;RecNum&gt;506&lt;/RecNum&gt;&lt;DisplayText&gt;(Boyer 1990)&lt;/DisplayText&gt;&lt;record&gt;&lt;rec-number&gt;506&lt;/rec-number&gt;&lt;foreign-keys&gt;&lt;key app="EN" db-id="2errrtwrme9dt5e5fpyv5pta2fzsx5vrd0zz"&gt;506&lt;/key&gt;&lt;/foreign-keys&gt;&lt;ref-type name="Book"&gt;6&lt;/ref-type&gt;&lt;contributors&gt;&lt;authors&gt;&lt;author&gt;Boyer, E.L.&lt;/author&gt;&lt;/authors&gt;&lt;/contributors&gt;&lt;titles&gt;&lt;title&gt;Scholarship reconsidered: priorities of the professoriate&lt;/title&gt;&lt;/titles&gt;&lt;dates&gt;&lt;year&gt;1990&lt;/year&gt;&lt;/dates&gt;&lt;pub-location&gt;Princeton, NJ&lt;/pub-location&gt;&lt;publisher&gt;Carnegie Foundation for the Advancement of Teaching&lt;/publisher&gt;&lt;urls&gt;&lt;/urls&gt;&lt;/record&gt;&lt;/Cite&gt;&lt;/EndNote&gt;</w:instrText>
      </w:r>
      <w:r>
        <w:rPr>
          <w:rFonts w:ascii="Times New Roman" w:hAnsi="Times New Roman"/>
        </w:rPr>
        <w:fldChar w:fldCharType="separate"/>
      </w:r>
      <w:r>
        <w:rPr>
          <w:rFonts w:ascii="Times New Roman" w:hAnsi="Times New Roman"/>
          <w:noProof/>
        </w:rPr>
        <w:t>(</w:t>
      </w:r>
      <w:hyperlink w:anchor="_ENREF_7" w:tooltip="Boyer, 1990 #506" w:history="1">
        <w:r w:rsidR="009C7F84">
          <w:rPr>
            <w:rFonts w:ascii="Times New Roman" w:hAnsi="Times New Roman"/>
            <w:noProof/>
          </w:rPr>
          <w:t>Boyer 1990</w:t>
        </w:r>
      </w:hyperlink>
      <w:r>
        <w:rPr>
          <w:rFonts w:ascii="Times New Roman" w:hAnsi="Times New Roman"/>
          <w:noProof/>
        </w:rPr>
        <w:t>)</w:t>
      </w:r>
      <w:r>
        <w:rPr>
          <w:rFonts w:ascii="Times New Roman" w:hAnsi="Times New Roman"/>
        </w:rPr>
        <w:fldChar w:fldCharType="end"/>
      </w:r>
      <w:r>
        <w:rPr>
          <w:rFonts w:ascii="Times New Roman" w:hAnsi="Times New Roman"/>
        </w:rPr>
        <w:t xml:space="preserve"> in terms of discovery (i.e. the creation of new knowledge), integration (i.e. creating knowledge across disciplines), application (i.e. engagement with the wider community beyond education) and teaching (i.e. applying research to teaching). He lists three characteristics of digital scholarship: </w:t>
      </w:r>
      <w:proofErr w:type="spellStart"/>
      <w:r>
        <w:rPr>
          <w:rFonts w:ascii="Times New Roman" w:hAnsi="Times New Roman"/>
        </w:rPr>
        <w:t>i</w:t>
      </w:r>
      <w:proofErr w:type="spellEnd"/>
      <w:r>
        <w:rPr>
          <w:rFonts w:ascii="Times New Roman" w:hAnsi="Times New Roman"/>
        </w:rPr>
        <w:t>) openness and sharing as a default, ii) digital and iii) networked, a global network of peers to generate and share ideas (Weller, 2011). He considers what these means for digital scholarship.  He argues that new technologies mean we can do things differently. He cites the way in which Twitter, for example, can enable researchers to have access to immediate expertise.</w:t>
      </w:r>
    </w:p>
    <w:p w:rsidR="00353FD4" w:rsidRDefault="00353FD4" w:rsidP="00353FD4">
      <w:pPr>
        <w:rPr>
          <w:rFonts w:ascii="Times New Roman" w:hAnsi="Times New Roman"/>
        </w:rPr>
      </w:pPr>
      <w:r>
        <w:rPr>
          <w:rFonts w:ascii="Times New Roman" w:hAnsi="Times New Roman"/>
        </w:rPr>
        <w:t xml:space="preserve"> </w:t>
      </w:r>
    </w:p>
    <w:p w:rsidR="00BD080C" w:rsidRDefault="00353FD4" w:rsidP="00353FD4">
      <w:pPr>
        <w:rPr>
          <w:rFonts w:ascii="Times New Roman" w:hAnsi="Times New Roman"/>
        </w:rPr>
      </w:pPr>
      <w:r>
        <w:rPr>
          <w:rFonts w:ascii="Times New Roman" w:hAnsi="Times New Roman"/>
        </w:rPr>
        <w:t xml:space="preserve">Pearce et al. </w:t>
      </w:r>
      <w:r>
        <w:rPr>
          <w:rFonts w:ascii="Times New Roman" w:hAnsi="Times New Roman"/>
        </w:rPr>
        <w:fldChar w:fldCharType="begin"/>
      </w:r>
      <w:r>
        <w:rPr>
          <w:rFonts w:ascii="Times New Roman" w:hAnsi="Times New Roman"/>
        </w:rPr>
        <w:instrText xml:space="preserve"> ADDIN EN.CITE &lt;EndNote&gt;&lt;Cite ExcludeAuth="1"&gt;&lt;Author&gt;Pearce&lt;/Author&gt;&lt;Year&gt;2010&lt;/Year&gt;&lt;RecNum&gt;504&lt;/RecNum&gt;&lt;DisplayText&gt;(2010)&lt;/DisplayText&gt;&lt;record&gt;&lt;rec-number&gt;504&lt;/rec-number&gt;&lt;foreign-keys&gt;&lt;key app="EN" db-id="2errrtwrme9dt5e5fpyv5pta2fzsx5vrd0zz"&gt;504&lt;/key&gt;&lt;/foreign-keys&gt;&lt;ref-type name="Magazine Article"&gt;19&lt;/ref-type&gt;&lt;contributors&gt;&lt;authors&gt;&lt;author&gt;Pearce, N.&lt;/author&gt;&lt;author&gt;Weller, M.&lt;/author&gt;&lt;author&gt;Scanlon, E.&lt;/author&gt;&lt;author&gt;Kinsley, S.&lt;/author&gt;&lt;/authors&gt;&lt;/contributors&gt;&lt;titles&gt;&lt;title&gt;Digital scholarship considered: how new technologies could transform academic work &lt;/title&gt;&lt;secondary-title&gt;Education&lt;/secondary-title&gt;&lt;/titles&gt;&lt;volume&gt;16&lt;/volume&gt;&lt;number&gt;1&lt;/number&gt;&lt;dates&gt;&lt;year&gt;2010&lt;/year&gt;&lt;/dates&gt;&lt;urls&gt;&lt;related-urls&gt;&lt;url&gt;http://www.ineducation.ca/article/digital-scholarship-considered-how-new-technologies-could-transform-academic-work&lt;/url&gt;&lt;/related-urls&gt;&lt;/urls&gt;&lt;/record&gt;&lt;/Cite&gt;&lt;/EndNote&gt;</w:instrText>
      </w:r>
      <w:r>
        <w:rPr>
          <w:rFonts w:ascii="Times New Roman" w:hAnsi="Times New Roman"/>
        </w:rPr>
        <w:fldChar w:fldCharType="separate"/>
      </w:r>
      <w:r>
        <w:rPr>
          <w:rFonts w:ascii="Times New Roman" w:hAnsi="Times New Roman"/>
          <w:noProof/>
        </w:rPr>
        <w:t>(</w:t>
      </w:r>
      <w:hyperlink w:anchor="_ENREF_30" w:tooltip="Pearce, 2010 #504" w:history="1">
        <w:r w:rsidR="009C7F84">
          <w:rPr>
            <w:rFonts w:ascii="Times New Roman" w:hAnsi="Times New Roman"/>
            <w:noProof/>
          </w:rPr>
          <w:t>2010</w:t>
        </w:r>
      </w:hyperlink>
      <w:r>
        <w:rPr>
          <w:rFonts w:ascii="Times New Roman" w:hAnsi="Times New Roman"/>
          <w:noProof/>
        </w:rPr>
        <w:t>)</w:t>
      </w:r>
      <w:r>
        <w:rPr>
          <w:rFonts w:ascii="Times New Roman" w:hAnsi="Times New Roman"/>
        </w:rPr>
        <w:fldChar w:fldCharType="end"/>
      </w:r>
      <w:r>
        <w:rPr>
          <w:rFonts w:ascii="Times New Roman" w:hAnsi="Times New Roman"/>
        </w:rPr>
        <w:t xml:space="preserve"> argue that the concept of openness is synergistic with the use of new technologies. They cite Anderson </w:t>
      </w:r>
      <w:r>
        <w:rPr>
          <w:rFonts w:ascii="Times New Roman" w:hAnsi="Times New Roman"/>
        </w:rPr>
        <w:fldChar w:fldCharType="begin"/>
      </w:r>
      <w:r>
        <w:rPr>
          <w:rFonts w:ascii="Times New Roman" w:hAnsi="Times New Roman"/>
        </w:rPr>
        <w:instrText xml:space="preserve"> ADDIN EN.CITE &lt;EndNote&gt;&lt;Cite ExcludeAuth="1"&gt;&lt;Author&gt;Anderson&lt;/Author&gt;&lt;Year&gt;2009&lt;/Year&gt;&lt;RecNum&gt;507&lt;/RecNum&gt;&lt;DisplayText&gt;(2009)&lt;/DisplayText&gt;&lt;record&gt;&lt;rec-number&gt;507&lt;/rec-number&gt;&lt;foreign-keys&gt;&lt;key app="EN" db-id="2errrtwrme9dt5e5fpyv5pta2fzsx5vrd0zz"&gt;507&lt;/key&gt;&lt;/foreign-keys&gt;&lt;ref-type name="Conference Proceedings"&gt;10&lt;/ref-type&gt;&lt;contributors&gt;&lt;authors&gt;&lt;author&gt;Anderson, T.&lt;/author&gt;&lt;/authors&gt;&lt;/contributors&gt;&lt;titles&gt;&lt;title&gt;Keynote presentation&lt;/title&gt;&lt;secondary-title&gt;ALT-C&lt;/secondary-title&gt;&lt;/titles&gt;&lt;dates&gt;&lt;year&gt;2009&lt;/year&gt;&lt;/dates&gt;&lt;pub-location&gt;Manchester&lt;/pub-location&gt;&lt;urls&gt;&lt;related-urls&gt;&lt;url&gt;http://www.slideshare.net/terrya/terry-anderson-alt-c-final&lt;/url&gt;&lt;/related-urls&gt;&lt;/urls&gt;&lt;/record&gt;&lt;/Cite&gt;&lt;/EndNote&gt;</w:instrText>
      </w:r>
      <w:r>
        <w:rPr>
          <w:rFonts w:ascii="Times New Roman" w:hAnsi="Times New Roman"/>
        </w:rPr>
        <w:fldChar w:fldCharType="separate"/>
      </w:r>
      <w:r>
        <w:rPr>
          <w:rFonts w:ascii="Times New Roman" w:hAnsi="Times New Roman"/>
          <w:noProof/>
        </w:rPr>
        <w:t>(</w:t>
      </w:r>
      <w:hyperlink w:anchor="_ENREF_2" w:tooltip="Anderson, 2009 #507" w:history="1">
        <w:r w:rsidR="009C7F84">
          <w:rPr>
            <w:rFonts w:ascii="Times New Roman" w:hAnsi="Times New Roman"/>
            <w:noProof/>
          </w:rPr>
          <w:t>2009</w:t>
        </w:r>
      </w:hyperlink>
      <w:r>
        <w:rPr>
          <w:rFonts w:ascii="Times New Roman" w:hAnsi="Times New Roman"/>
          <w:noProof/>
        </w:rPr>
        <w:t>)</w:t>
      </w:r>
      <w:r>
        <w:rPr>
          <w:rFonts w:ascii="Times New Roman" w:hAnsi="Times New Roman"/>
        </w:rPr>
        <w:fldChar w:fldCharType="end"/>
      </w:r>
      <w:r>
        <w:rPr>
          <w:rFonts w:ascii="Times New Roman" w:hAnsi="Times New Roman"/>
        </w:rPr>
        <w:t xml:space="preserve"> and Burton </w:t>
      </w:r>
      <w:r>
        <w:rPr>
          <w:rFonts w:ascii="Times New Roman" w:hAnsi="Times New Roman"/>
        </w:rPr>
        <w:fldChar w:fldCharType="begin"/>
      </w:r>
      <w:r>
        <w:rPr>
          <w:rFonts w:ascii="Times New Roman" w:hAnsi="Times New Roman"/>
        </w:rPr>
        <w:instrText xml:space="preserve"> ADDIN EN.CITE &lt;EndNote&gt;&lt;Cite ExcludeAuth="1"&gt;&lt;Author&gt;Burton&lt;/Author&gt;&lt;Year&gt;2009&lt;/Year&gt;&lt;RecNum&gt;508&lt;/RecNum&gt;&lt;DisplayText&gt;(2009)&lt;/DisplayText&gt;&lt;record&gt;&lt;rec-number&gt;508&lt;/rec-number&gt;&lt;foreign-keys&gt;&lt;key app="EN" db-id="2errrtwrme9dt5e5fpyv5pta2fzsx5vrd0zz"&gt;508&lt;/key&gt;&lt;/foreign-keys&gt;&lt;ref-type name="Generic"&gt;13&lt;/ref-type&gt;&lt;contributors&gt;&lt;authors&gt;&lt;author&gt;Burton, G.&lt;/author&gt;&lt;/authors&gt;&lt;/contributors&gt;&lt;titles&gt;&lt;title&gt;The open scholar&lt;/title&gt;&lt;secondary-title&gt;Academic Evolution&lt;/secondary-title&gt;&lt;/titles&gt;&lt;dates&gt;&lt;year&gt;2009&lt;/year&gt;&lt;/dates&gt;&lt;urls&gt;&lt;related-urls&gt;&lt;url&gt;http://www.academicevolution.com/2009/08/the-open-scholar.html&lt;/url&gt;&lt;/related-urls&gt;&lt;/urls&gt;&lt;/record&gt;&lt;/Cite&gt;&lt;/EndNote&gt;</w:instrText>
      </w:r>
      <w:r>
        <w:rPr>
          <w:rFonts w:ascii="Times New Roman" w:hAnsi="Times New Roman"/>
        </w:rPr>
        <w:fldChar w:fldCharType="separate"/>
      </w:r>
      <w:r>
        <w:rPr>
          <w:rFonts w:ascii="Times New Roman" w:hAnsi="Times New Roman"/>
          <w:noProof/>
        </w:rPr>
        <w:t>(</w:t>
      </w:r>
      <w:hyperlink w:anchor="_ENREF_8" w:tooltip="Burton, 2009 #508" w:history="1">
        <w:r w:rsidR="009C7F84">
          <w:rPr>
            <w:rFonts w:ascii="Times New Roman" w:hAnsi="Times New Roman"/>
            <w:noProof/>
          </w:rPr>
          <w:t>2009</w:t>
        </w:r>
      </w:hyperlink>
      <w:r>
        <w:rPr>
          <w:rFonts w:ascii="Times New Roman" w:hAnsi="Times New Roman"/>
          <w:noProof/>
        </w:rPr>
        <w:t>)</w:t>
      </w:r>
      <w:r>
        <w:rPr>
          <w:rFonts w:ascii="Times New Roman" w:hAnsi="Times New Roman"/>
        </w:rPr>
        <w:fldChar w:fldCharType="end"/>
      </w:r>
      <w:r>
        <w:rPr>
          <w:rFonts w:ascii="Times New Roman" w:hAnsi="Times New Roman"/>
        </w:rPr>
        <w:t xml:space="preserve">, who suggest that as a result of new technologies the notion of the ‘open scholar’ has emerged. In terms of discovery, they argue that new technologies offer new ways of generating, analysing and discussing research data. In terms of integration, there is a tension between the fast, open access mechanism now possible for publishing research outputs with the traditional publication vehicles of journals and books. There are a number of issues with the latter: the long lag times between submission and publication, increasing subscription costs, and a growing resentment amongst academics in terms of them sending their own writing to the publishers for free and then having to buy them back. Also in terms of free reviewing and editing.  New technology-mediated dissemination channels offer powerful opportunities for researchers to convey their ideas to a wider audience; through for example blogs, Twitter, YouTube and </w:t>
      </w:r>
      <w:proofErr w:type="spellStart"/>
      <w:r>
        <w:rPr>
          <w:rFonts w:ascii="Times New Roman" w:hAnsi="Times New Roman"/>
        </w:rPr>
        <w:t>SlideShare</w:t>
      </w:r>
      <w:proofErr w:type="spellEnd"/>
      <w:r>
        <w:rPr>
          <w:rFonts w:ascii="Times New Roman" w:hAnsi="Times New Roman"/>
        </w:rPr>
        <w:t>.  Finally, Pearce et al. (2010</w:t>
      </w:r>
      <w:proofErr w:type="gramStart"/>
      <w:r>
        <w:rPr>
          <w:rFonts w:ascii="Times New Roman" w:hAnsi="Times New Roman"/>
        </w:rPr>
        <w:t>),</w:t>
      </w:r>
      <w:proofErr w:type="gramEnd"/>
      <w:r>
        <w:rPr>
          <w:rFonts w:ascii="Times New Roman" w:hAnsi="Times New Roman"/>
        </w:rPr>
        <w:t xml:space="preserve"> consider teaching and in particular open education, which is </w:t>
      </w:r>
      <w:r>
        <w:rPr>
          <w:rFonts w:ascii="Times New Roman" w:hAnsi="Times New Roman"/>
        </w:rPr>
        <w:lastRenderedPageBreak/>
        <w:t xml:space="preserve">where they argue we are seeing the biggest impact of new technologies and open approaches. They argue that the digitisation of learning and teaching resources means that they can easily be reproduced and shared on a global scale. They cite initiatives such as MIT’s </w:t>
      </w:r>
      <w:proofErr w:type="spellStart"/>
      <w:r>
        <w:rPr>
          <w:rFonts w:ascii="Times New Roman" w:hAnsi="Times New Roman"/>
        </w:rPr>
        <w:t>OpenCourseWare</w:t>
      </w:r>
      <w:proofErr w:type="spellEnd"/>
      <w:r>
        <w:rPr>
          <w:rFonts w:ascii="Times New Roman" w:hAnsi="Times New Roman"/>
        </w:rPr>
        <w:t xml:space="preserve"> project</w:t>
      </w:r>
      <w:r>
        <w:rPr>
          <w:rFonts w:ascii="Times New Roman" w:hAnsi="Times New Roman"/>
          <w:vertAlign w:val="superscript"/>
        </w:rPr>
        <w:footnoteReference w:id="14"/>
      </w:r>
      <w:r>
        <w:rPr>
          <w:rFonts w:ascii="Times New Roman" w:hAnsi="Times New Roman"/>
        </w:rPr>
        <w:t xml:space="preserve"> and the Open University’s </w:t>
      </w:r>
      <w:proofErr w:type="spellStart"/>
      <w:r>
        <w:rPr>
          <w:rFonts w:ascii="Times New Roman" w:hAnsi="Times New Roman"/>
        </w:rPr>
        <w:t>OpenLearn</w:t>
      </w:r>
      <w:proofErr w:type="spellEnd"/>
      <w:r>
        <w:rPr>
          <w:rFonts w:ascii="Times New Roman" w:hAnsi="Times New Roman"/>
          <w:vertAlign w:val="superscript"/>
        </w:rPr>
        <w:footnoteReference w:id="15"/>
      </w:r>
      <w:r>
        <w:rPr>
          <w:rFonts w:ascii="Times New Roman" w:hAnsi="Times New Roman"/>
        </w:rPr>
        <w:t xml:space="preserve"> repositories as examples.  They conclude by reflecting on the ways in which technologies are changing practice and in particular scholarship:</w:t>
      </w:r>
    </w:p>
    <w:p w:rsidR="00353FD4" w:rsidRDefault="00353FD4" w:rsidP="00353FD4">
      <w:pPr>
        <w:rPr>
          <w:rFonts w:ascii="Times New Roman" w:hAnsi="Times New Roman"/>
        </w:rPr>
      </w:pPr>
    </w:p>
    <w:p w:rsidR="00353FD4" w:rsidRDefault="00353FD4" w:rsidP="00353FD4">
      <w:pPr>
        <w:ind w:left="720"/>
        <w:rPr>
          <w:rFonts w:ascii="Times New Roman" w:hAnsi="Times New Roman"/>
        </w:rPr>
      </w:pPr>
      <w:r>
        <w:rPr>
          <w:rFonts w:ascii="Times New Roman" w:hAnsi="Times New Roman"/>
          <w:sz w:val="22"/>
        </w:rPr>
        <w:t>It is clear from the foregoing discussion that new technologies hold out very real possibilities for change across all facets of scholarship. In each case these afford the possibility for new more open ways of working. Academic work has always contained a significant element of collaboration within academia but now it is increasingly easy to collaborate with more colleagues within but also beyond the academy and for the varied products of these collaborations to be available to the widest possible audience.</w:t>
      </w:r>
    </w:p>
    <w:p w:rsidR="00D379D4" w:rsidRDefault="00D379D4" w:rsidP="00D379D4"/>
    <w:p w:rsidR="00D379D4" w:rsidRDefault="00D379D4" w:rsidP="00D379D4">
      <w:pPr>
        <w:pStyle w:val="Heading2"/>
      </w:pPr>
      <w:r>
        <w:t>Open research</w:t>
      </w:r>
    </w:p>
    <w:p w:rsidR="00EA4BAD" w:rsidRDefault="00AC0C75" w:rsidP="00AC0C75">
      <w:pPr>
        <w:tabs>
          <w:tab w:val="left" w:pos="426"/>
        </w:tabs>
        <w:rPr>
          <w:rFonts w:ascii="Times New Roman" w:eastAsia="ヒラギノ角ゴ Pro W3" w:hAnsi="Times New Roman"/>
        </w:rPr>
      </w:pPr>
      <w:r>
        <w:rPr>
          <w:rFonts w:ascii="Times New Roman" w:eastAsia="ヒラギノ角ゴ Pro W3" w:hAnsi="Times New Roman"/>
        </w:rPr>
        <w:t>In the last decade the Open Access Movement (OEM) has emerged as a means of academics making their research outputs publicly available, rather than in closed publishing journals. This raises the issue of what will be the impact of the Open Access Movement (</w:t>
      </w:r>
      <w:proofErr w:type="spellStart"/>
      <w:r>
        <w:rPr>
          <w:rFonts w:ascii="Times New Roman" w:eastAsia="ヒラギノ角ゴ Pro W3" w:hAnsi="Times New Roman"/>
        </w:rPr>
        <w:t>Harnard</w:t>
      </w:r>
      <w:proofErr w:type="spellEnd"/>
      <w:r>
        <w:rPr>
          <w:rFonts w:ascii="Times New Roman" w:eastAsia="ヒラギノ角ゴ Pro W3" w:hAnsi="Times New Roman"/>
        </w:rPr>
        <w:t xml:space="preserve"> et al., 2004) for learning, teaching and research? How can we capitalise on the rich research data, which is now being made available on a global scale? How can we move to adopting more open approaches to research, open bibliographies and citations, making research outputs available online? What would it mean to make raw data publicly available for others to interrogate and use?</w:t>
      </w:r>
    </w:p>
    <w:p w:rsidR="00EA4BAD" w:rsidRDefault="00EA4BAD" w:rsidP="00AC0C75">
      <w:pPr>
        <w:tabs>
          <w:tab w:val="left" w:pos="426"/>
        </w:tabs>
        <w:rPr>
          <w:rFonts w:ascii="Times New Roman" w:eastAsia="ヒラギノ角ゴ Pro W3" w:hAnsi="Times New Roman"/>
        </w:rPr>
      </w:pPr>
    </w:p>
    <w:p w:rsidR="00BD080C" w:rsidRDefault="00EA4BAD" w:rsidP="0004563D">
      <w:pPr>
        <w:spacing w:line="256" w:lineRule="atLeast"/>
        <w:rPr>
          <w:rFonts w:ascii="Times New Roman" w:eastAsia="ヒラギノ角ゴ Pro W3" w:hAnsi="Times New Roman"/>
        </w:rPr>
      </w:pPr>
      <w:r>
        <w:rPr>
          <w:rFonts w:ascii="Times New Roman" w:eastAsia="ヒラギノ角ゴ Pro W3" w:hAnsi="Times New Roman"/>
        </w:rPr>
        <w:t xml:space="preserve">Social and participatory media offer researchers a plethora of ways in which they can communicate and disseminate their research and to engage in peer review and reflection. There are also </w:t>
      </w:r>
      <w:proofErr w:type="gramStart"/>
      <w:r>
        <w:rPr>
          <w:rFonts w:ascii="Times New Roman" w:eastAsia="ヒラギノ角ゴ Pro W3" w:hAnsi="Times New Roman"/>
        </w:rPr>
        <w:t>a wealth</w:t>
      </w:r>
      <w:proofErr w:type="gramEnd"/>
      <w:r>
        <w:rPr>
          <w:rFonts w:ascii="Times New Roman" w:eastAsia="ヒラギノ角ゴ Pro W3" w:hAnsi="Times New Roman"/>
        </w:rPr>
        <w:t xml:space="preserve"> of ways in which knowledge can be represented and co-constructed using these tools. This is resulting in a change in the way researchers work and collaborate. With the range of collaborative tools now available, researchers can more easily participate in global research networked, co-creating ideas in collaborative tools (such as wikis or </w:t>
      </w:r>
      <w:proofErr w:type="spellStart"/>
      <w:r>
        <w:rPr>
          <w:rFonts w:ascii="Times New Roman" w:eastAsia="ヒラギノ角ゴ Pro W3" w:hAnsi="Times New Roman"/>
        </w:rPr>
        <w:t>google</w:t>
      </w:r>
      <w:proofErr w:type="spellEnd"/>
      <w:r>
        <w:rPr>
          <w:rFonts w:ascii="Times New Roman" w:eastAsia="ヒラギノ角ゴ Pro W3" w:hAnsi="Times New Roman"/>
        </w:rPr>
        <w:t xml:space="preserve"> docs), participating in synchronous conferencing sessions (such as </w:t>
      </w:r>
      <w:proofErr w:type="spellStart"/>
      <w:r>
        <w:rPr>
          <w:rFonts w:ascii="Times New Roman" w:eastAsia="ヒラギノ角ゴ Pro W3" w:hAnsi="Times New Roman"/>
        </w:rPr>
        <w:t>google</w:t>
      </w:r>
      <w:proofErr w:type="spellEnd"/>
      <w:r>
        <w:rPr>
          <w:rFonts w:ascii="Times New Roman" w:eastAsia="ヒラギノ角ゴ Pro W3" w:hAnsi="Times New Roman"/>
        </w:rPr>
        <w:t xml:space="preserve"> hangouts or Learning Management System tools such as Blackboard collaborate). </w:t>
      </w:r>
      <w:r w:rsidR="007E4C8D">
        <w:rPr>
          <w:rFonts w:ascii="Times New Roman" w:eastAsia="ヒラギノ角ゴ Pro W3" w:hAnsi="Times New Roman"/>
        </w:rPr>
        <w:t xml:space="preserve">In addition, many researchers now keep research blogs and use social networking tools like Twitter and Facebook to communicate their research ideas and writings. </w:t>
      </w:r>
      <w:proofErr w:type="spellStart"/>
      <w:r w:rsidR="0004563D">
        <w:rPr>
          <w:rFonts w:ascii="Times New Roman" w:eastAsia="ヒラギノ角ゴ Pro W3" w:hAnsi="Times New Roman"/>
        </w:rPr>
        <w:t>Conole</w:t>
      </w:r>
      <w:proofErr w:type="spellEnd"/>
      <w:r w:rsidR="0004563D">
        <w:rPr>
          <w:rFonts w:ascii="Times New Roman" w:eastAsia="ヒラギノ角ゴ Pro W3" w:hAnsi="Times New Roman"/>
        </w:rPr>
        <w:t xml:space="preserve"> </w:t>
      </w:r>
      <w:r w:rsidR="0004563D">
        <w:rPr>
          <w:rFonts w:ascii="Times New Roman" w:eastAsia="ヒラギノ角ゴ Pro W3" w:hAnsi="Times New Roman"/>
        </w:rPr>
        <w:fldChar w:fldCharType="begin"/>
      </w:r>
      <w:r w:rsidR="0004563D">
        <w:rPr>
          <w:rFonts w:ascii="Times New Roman" w:eastAsia="ヒラギノ角ゴ Pro W3" w:hAnsi="Times New Roman"/>
        </w:rPr>
        <w:instrText xml:space="preserve"> ADDIN EN.CITE &lt;EndNote&gt;&lt;Cite ExcludeAuth="1"&gt;&lt;Author&gt;Conole&lt;/Author&gt;&lt;Year&gt;2007&lt;/Year&gt;&lt;RecNum&gt;509&lt;/RecNum&gt;&lt;DisplayText&gt;(2007)&lt;/DisplayText&gt;&lt;record&gt;&lt;rec-number&gt;509&lt;/rec-number&gt;&lt;foreign-keys&gt;&lt;key app="EN" db-id="2errrtwrme9dt5e5fpyv5pta2fzsx5vrd0zz"&gt;509&lt;/key&gt;&lt;/foreign-keys&gt;&lt;ref-type name="Generic"&gt;13&lt;/ref-type&gt;&lt;contributors&gt;&lt;authors&gt;&lt;author&gt;Conole, G.&lt;/author&gt;&lt;/authors&gt;&lt;/contributors&gt;&lt;titles&gt;&lt;title&gt;The nature of academic discourse&lt;/title&gt;&lt;secondary-title&gt;E4innovation: e-learning innovation: research, evaluation, practice and policy&lt;/secondary-title&gt;&lt;/titles&gt;&lt;dates&gt;&lt;year&gt;2007&lt;/year&gt;&lt;/dates&gt;&lt;urls&gt;&lt;related-urls&gt;&lt;url&gt;http://e4innovation.com/?p=45&lt;/url&gt;&lt;/related-urls&gt;&lt;/urls&gt;&lt;/record&gt;&lt;/Cite&gt;&lt;/EndNote&gt;</w:instrText>
      </w:r>
      <w:r w:rsidR="0004563D">
        <w:rPr>
          <w:rFonts w:ascii="Times New Roman" w:eastAsia="ヒラギノ角ゴ Pro W3" w:hAnsi="Times New Roman"/>
        </w:rPr>
        <w:fldChar w:fldCharType="separate"/>
      </w:r>
      <w:r w:rsidR="0004563D">
        <w:rPr>
          <w:rFonts w:ascii="Times New Roman" w:eastAsia="ヒラギノ角ゴ Pro W3" w:hAnsi="Times New Roman"/>
          <w:noProof/>
        </w:rPr>
        <w:t>(</w:t>
      </w:r>
      <w:hyperlink w:anchor="_ENREF_10" w:tooltip="Conole, 2007 #509" w:history="1">
        <w:r w:rsidR="009C7F84">
          <w:rPr>
            <w:rFonts w:ascii="Times New Roman" w:eastAsia="ヒラギノ角ゴ Pro W3" w:hAnsi="Times New Roman"/>
            <w:noProof/>
          </w:rPr>
          <w:t>2007</w:t>
        </w:r>
      </w:hyperlink>
      <w:r w:rsidR="0004563D">
        <w:rPr>
          <w:rFonts w:ascii="Times New Roman" w:eastAsia="ヒラギノ角ゴ Pro W3" w:hAnsi="Times New Roman"/>
          <w:noProof/>
        </w:rPr>
        <w:t>)</w:t>
      </w:r>
      <w:r w:rsidR="0004563D">
        <w:rPr>
          <w:rFonts w:ascii="Times New Roman" w:eastAsia="ヒラギノ角ゴ Pro W3" w:hAnsi="Times New Roman"/>
        </w:rPr>
        <w:fldChar w:fldCharType="end"/>
      </w:r>
      <w:r w:rsidR="0004563D">
        <w:rPr>
          <w:rFonts w:ascii="Times New Roman" w:eastAsia="ヒラギノ角ゴ Pro W3" w:hAnsi="Times New Roman"/>
        </w:rPr>
        <w:t xml:space="preserve"> argues that blogging sits alongside, and complements, other forms of communication, namely academic papers and conferences and suggests the following as functions for these:</w:t>
      </w:r>
    </w:p>
    <w:p w:rsidR="0004563D" w:rsidRDefault="0004563D" w:rsidP="0004563D">
      <w:pPr>
        <w:spacing w:line="256" w:lineRule="atLeast"/>
        <w:rPr>
          <w:rFonts w:ascii="Times New Roman" w:eastAsia="ヒラギノ角ゴ Pro W3" w:hAnsi="Times New Roman"/>
        </w:rPr>
      </w:pPr>
    </w:p>
    <w:p w:rsidR="0004563D" w:rsidRDefault="0004563D" w:rsidP="0004563D">
      <w:pPr>
        <w:pStyle w:val="ListParagraph"/>
        <w:numPr>
          <w:ilvl w:val="0"/>
          <w:numId w:val="10"/>
        </w:numPr>
        <w:spacing w:after="0" w:line="256" w:lineRule="atLeast"/>
        <w:ind w:hanging="426"/>
        <w:contextualSpacing w:val="0"/>
        <w:rPr>
          <w:rFonts w:ascii="Times New Roman" w:eastAsia="ヒラギノ角ゴ Pro W3" w:hAnsi="Times New Roman"/>
          <w:color w:val="000000"/>
          <w:sz w:val="24"/>
        </w:rPr>
      </w:pPr>
      <w:r>
        <w:rPr>
          <w:rFonts w:ascii="Times New Roman" w:eastAsia="ヒラギノ角ゴ Pro W3" w:hAnsi="Times New Roman"/>
          <w:sz w:val="24"/>
        </w:rPr>
        <w:t>Academic papers: reporting of findings against a particular narrative, grounded in the literature and related work; style – formal, academic-speak.</w:t>
      </w:r>
    </w:p>
    <w:p w:rsidR="0004563D" w:rsidRDefault="0004563D" w:rsidP="0004563D">
      <w:pPr>
        <w:pStyle w:val="ListParagraph"/>
        <w:numPr>
          <w:ilvl w:val="0"/>
          <w:numId w:val="10"/>
        </w:numPr>
        <w:spacing w:after="0" w:line="256" w:lineRule="atLeast"/>
        <w:ind w:hanging="426"/>
        <w:contextualSpacing w:val="0"/>
        <w:rPr>
          <w:rFonts w:ascii="Times New Roman" w:eastAsia="ヒラギノ角ゴ Pro W3" w:hAnsi="Times New Roman"/>
          <w:color w:val="000000"/>
          <w:sz w:val="24"/>
        </w:rPr>
      </w:pPr>
      <w:r>
        <w:rPr>
          <w:rFonts w:ascii="Times New Roman" w:eastAsia="ヒラギノ角ゴ Pro W3" w:hAnsi="Times New Roman"/>
          <w:sz w:val="24"/>
        </w:rPr>
        <w:t>Conference presentations: awareness raising of the work, posing questions and issues about the work, style – entertaining, visual, informal.</w:t>
      </w:r>
    </w:p>
    <w:p w:rsidR="0004563D" w:rsidRPr="0004563D" w:rsidRDefault="0004563D" w:rsidP="00EA4BAD">
      <w:pPr>
        <w:pStyle w:val="ListParagraph"/>
        <w:numPr>
          <w:ilvl w:val="0"/>
          <w:numId w:val="10"/>
        </w:numPr>
        <w:spacing w:after="0" w:line="256" w:lineRule="atLeast"/>
        <w:ind w:hanging="426"/>
        <w:contextualSpacing w:val="0"/>
        <w:rPr>
          <w:rFonts w:ascii="Times New Roman" w:eastAsia="ヒラギノ角ゴ Pro W3" w:hAnsi="Times New Roman"/>
          <w:color w:val="000000"/>
          <w:sz w:val="24"/>
        </w:rPr>
      </w:pPr>
      <w:r>
        <w:rPr>
          <w:rFonts w:ascii="Times New Roman" w:eastAsia="ヒラギノ角ゴ Pro W3" w:hAnsi="Times New Roman"/>
          <w:sz w:val="24"/>
        </w:rPr>
        <w:t xml:space="preserve">Blogging: snippets of the work, reflecting on particular issues, style – short, informal, reflective. </w:t>
      </w:r>
    </w:p>
    <w:p w:rsidR="0004563D" w:rsidRDefault="0004563D" w:rsidP="00EA4BAD">
      <w:pPr>
        <w:rPr>
          <w:rFonts w:ascii="Times New Roman" w:eastAsia="ヒラギノ角ゴ Pro W3" w:hAnsi="Times New Roman"/>
        </w:rPr>
      </w:pPr>
    </w:p>
    <w:p w:rsidR="00EA4BAD" w:rsidRDefault="007E4C8D" w:rsidP="00EA4BAD">
      <w:pPr>
        <w:rPr>
          <w:rFonts w:ascii="Times New Roman" w:eastAsia="ヒラギノ角ゴ Pro W3" w:hAnsi="Times New Roman"/>
        </w:rPr>
      </w:pPr>
      <w:r>
        <w:rPr>
          <w:rFonts w:ascii="Times New Roman" w:eastAsia="ヒラギノ角ゴ Pro W3" w:hAnsi="Times New Roman"/>
        </w:rPr>
        <w:lastRenderedPageBreak/>
        <w:t xml:space="preserve">These open research practices are challenging traditional publishing vehicles. Why put your content in a closed proprietary journal where only a handful of people might read it, when you can make it available </w:t>
      </w:r>
      <w:proofErr w:type="spellStart"/>
      <w:r>
        <w:rPr>
          <w:rFonts w:ascii="Times New Roman" w:eastAsia="ヒラギノ角ゴ Pro W3" w:hAnsi="Times New Roman"/>
        </w:rPr>
        <w:t>openingly</w:t>
      </w:r>
      <w:proofErr w:type="spellEnd"/>
      <w:r>
        <w:rPr>
          <w:rFonts w:ascii="Times New Roman" w:eastAsia="ヒラギノ角ゴ Pro W3" w:hAnsi="Times New Roman"/>
        </w:rPr>
        <w:t xml:space="preserve"> on a blog and through social media make it available to thousands of people?</w:t>
      </w:r>
    </w:p>
    <w:p w:rsidR="00EA4BAD" w:rsidRDefault="00EA4BAD" w:rsidP="00EA4BAD">
      <w:pPr>
        <w:rPr>
          <w:rFonts w:ascii="Times New Roman" w:eastAsia="ヒラギノ角ゴ Pro W3" w:hAnsi="Times New Roman"/>
        </w:rPr>
      </w:pPr>
    </w:p>
    <w:p w:rsidR="00EA4BAD" w:rsidRDefault="00EA4BAD" w:rsidP="00EA4BAD">
      <w:pPr>
        <w:rPr>
          <w:rFonts w:ascii="Times New Roman" w:eastAsia="ヒラギノ角ゴ Pro W3" w:hAnsi="Times New Roman"/>
          <w:sz w:val="22"/>
        </w:rPr>
      </w:pPr>
      <w:r>
        <w:rPr>
          <w:rFonts w:ascii="Times New Roman" w:eastAsia="ヒラギノ角ゴ Pro W3" w:hAnsi="Times New Roman"/>
        </w:rPr>
        <w:t xml:space="preserve">There has been a drive in the last decade or so to making research outputs publically available through institutional research repositories. In the nineties Steven </w:t>
      </w:r>
      <w:proofErr w:type="spellStart"/>
      <w:r>
        <w:rPr>
          <w:rFonts w:ascii="Times New Roman" w:eastAsia="ヒラギノ角ゴ Pro W3" w:hAnsi="Times New Roman"/>
        </w:rPr>
        <w:t>Harnard</w:t>
      </w:r>
      <w:proofErr w:type="spellEnd"/>
      <w:r>
        <w:rPr>
          <w:rFonts w:ascii="Times New Roman" w:eastAsia="ヒラギノ角ゴ Pro W3" w:hAnsi="Times New Roman"/>
        </w:rPr>
        <w:t xml:space="preserve"> lead the development of the open access movement, aimed at making academic outputs freely available </w:t>
      </w:r>
      <w:r>
        <w:rPr>
          <w:rFonts w:ascii="Times New Roman" w:eastAsia="ヒラギノ角ゴ Pro W3" w:hAnsi="Times New Roman"/>
        </w:rPr>
        <w:fldChar w:fldCharType="begin">
          <w:fldData xml:space="preserve">PEVuZE5vdGU+PENpdGU+PEF1dGhvcj5IYXJuYXJkPC9BdXRob3I+PFllYXI+MTk5NTwvWWVhcj48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</w:fldData>
        </w:fldChar>
      </w:r>
      <w:r>
        <w:rPr>
          <w:rFonts w:ascii="Times New Roman" w:eastAsia="ヒラギノ角ゴ Pro W3" w:hAnsi="Times New Roman"/>
        </w:rPr>
        <w:instrText xml:space="preserve"> ADDIN EN.CITE </w:instrText>
      </w:r>
      <w:r>
        <w:rPr>
          <w:rFonts w:ascii="Times New Roman" w:eastAsia="ヒラギノ角ゴ Pro W3" w:hAnsi="Times New Roman"/>
        </w:rPr>
        <w:fldChar w:fldCharType="begin">
          <w:fldData xml:space="preserve">PEVuZE5vdGU+PENpdGU+PEF1dGhvcj5IYXJuYXJkPC9BdXRob3I+PFllYXI+MTk5NTwvWWVhcj48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</w:fldData>
        </w:fldChar>
      </w:r>
      <w:r>
        <w:rPr>
          <w:rFonts w:ascii="Times New Roman" w:eastAsia="ヒラギノ角ゴ Pro W3" w:hAnsi="Times New Roman"/>
        </w:rPr>
        <w:instrText xml:space="preserve"> ADDIN EN.CITE.DATA </w:instrText>
      </w:r>
      <w:r>
        <w:rPr>
          <w:rFonts w:ascii="Times New Roman" w:eastAsia="ヒラギノ角ゴ Pro W3" w:hAnsi="Times New Roman"/>
        </w:rPr>
      </w:r>
      <w:r>
        <w:rPr>
          <w:rFonts w:ascii="Times New Roman" w:eastAsia="ヒラギノ角ゴ Pro W3" w:hAnsi="Times New Roman"/>
        </w:rPr>
        <w:fldChar w:fldCharType="end"/>
      </w:r>
      <w:r>
        <w:rPr>
          <w:rFonts w:ascii="Times New Roman" w:eastAsia="ヒラギノ角ゴ Pro W3" w:hAnsi="Times New Roman"/>
        </w:rPr>
      </w:r>
      <w:r>
        <w:rPr>
          <w:rFonts w:ascii="Times New Roman" w:eastAsia="ヒラギノ角ゴ Pro W3" w:hAnsi="Times New Roman"/>
        </w:rPr>
        <w:fldChar w:fldCharType="separate"/>
      </w:r>
      <w:r>
        <w:rPr>
          <w:rFonts w:ascii="Times New Roman" w:eastAsia="ヒラギノ角ゴ Pro W3" w:hAnsi="Times New Roman"/>
          <w:noProof/>
        </w:rPr>
        <w:t>(</w:t>
      </w:r>
      <w:hyperlink w:anchor="_ENREF_20" w:tooltip="Harnard, 1995 #501" w:history="1">
        <w:r w:rsidR="009C7F84">
          <w:rPr>
            <w:rFonts w:ascii="Times New Roman" w:eastAsia="ヒラギノ角ゴ Pro W3" w:hAnsi="Times New Roman"/>
            <w:noProof/>
          </w:rPr>
          <w:t>Harnard and Hey 1995</w:t>
        </w:r>
      </w:hyperlink>
      <w:proofErr w:type="gramStart"/>
      <w:r>
        <w:rPr>
          <w:rFonts w:ascii="Times New Roman" w:eastAsia="ヒラギノ角ゴ Pro W3" w:hAnsi="Times New Roman"/>
          <w:noProof/>
        </w:rPr>
        <w:t xml:space="preserve">; </w:t>
      </w:r>
      <w:hyperlink w:anchor="_ENREF_21" w:tooltip="Hey, 1997 #499" w:history="1">
        <w:r w:rsidR="009C7F84">
          <w:rPr>
            <w:rFonts w:ascii="Times New Roman" w:eastAsia="ヒラギノ角ゴ Pro W3" w:hAnsi="Times New Roman"/>
            <w:noProof/>
          </w:rPr>
          <w:t>Hey 1997</w:t>
        </w:r>
      </w:hyperlink>
      <w:r>
        <w:rPr>
          <w:rFonts w:ascii="Times New Roman" w:eastAsia="ヒラギノ角ゴ Pro W3" w:hAnsi="Times New Roman"/>
          <w:noProof/>
        </w:rPr>
        <w:t>;</w:t>
      </w:r>
      <w:proofErr w:type="gramEnd"/>
      <w:r>
        <w:rPr>
          <w:rFonts w:ascii="Times New Roman" w:eastAsia="ヒラギノ角ゴ Pro W3" w:hAnsi="Times New Roman"/>
          <w:noProof/>
        </w:rPr>
        <w:t xml:space="preserve"> </w:t>
      </w:r>
      <w:hyperlink w:anchor="_ENREF_22" w:tooltip="Hey, 2004 #500" w:history="1">
        <w:r w:rsidR="009C7F84">
          <w:rPr>
            <w:rFonts w:ascii="Times New Roman" w:eastAsia="ヒラギノ角ゴ Pro W3" w:hAnsi="Times New Roman"/>
            <w:noProof/>
          </w:rPr>
          <w:t>Hey 2004</w:t>
        </w:r>
      </w:hyperlink>
      <w:r>
        <w:rPr>
          <w:rFonts w:ascii="Times New Roman" w:eastAsia="ヒラギノ角ゴ Pro W3" w:hAnsi="Times New Roman"/>
          <w:noProof/>
        </w:rPr>
        <w:t>)</w:t>
      </w:r>
      <w:r>
        <w:rPr>
          <w:rFonts w:ascii="Times New Roman" w:eastAsia="ヒラギノ角ゴ Pro W3" w:hAnsi="Times New Roman"/>
        </w:rPr>
        <w:fldChar w:fldCharType="end"/>
      </w:r>
      <w:r>
        <w:rPr>
          <w:rFonts w:ascii="Times New Roman" w:eastAsia="ヒラギノ角ゴ Pro W3" w:hAnsi="Times New Roman"/>
        </w:rPr>
        <w:t xml:space="preserve">. As part of this the </w:t>
      </w:r>
      <w:proofErr w:type="spellStart"/>
      <w:r>
        <w:rPr>
          <w:rFonts w:ascii="Times New Roman" w:eastAsia="ヒラギノ角ゴ Pro W3" w:hAnsi="Times New Roman"/>
        </w:rPr>
        <w:t>EPrints</w:t>
      </w:r>
      <w:proofErr w:type="spellEnd"/>
      <w:r>
        <w:rPr>
          <w:rFonts w:ascii="Times New Roman" w:eastAsia="ヒラギノ角ゴ Pro W3" w:hAnsi="Times New Roman"/>
        </w:rPr>
        <w:t xml:space="preserve"> software</w:t>
      </w:r>
      <w:r>
        <w:rPr>
          <w:rStyle w:val="FootnoteReference1"/>
          <w:rFonts w:ascii="Times New Roman" w:eastAsia="ヒラギノ角ゴ Pro W3" w:hAnsi="Times New Roman"/>
        </w:rPr>
        <w:footnoteReference w:id="16"/>
      </w:r>
      <w:r>
        <w:rPr>
          <w:rFonts w:ascii="Times New Roman" w:eastAsia="ヒラギノ角ゴ Pro W3" w:hAnsi="Times New Roman"/>
        </w:rPr>
        <w:t xml:space="preserve"> was produced, as a vehicle for creating open access archives of research output. Since then more and more institutions have set up similar repositories and these are now recognised as important mechanisms for valuing and showcasing institutions’ intellectual assets. Reflecting on the evaluation of the implementation and uptake of </w:t>
      </w:r>
      <w:proofErr w:type="spellStart"/>
      <w:r>
        <w:rPr>
          <w:rFonts w:ascii="Times New Roman" w:eastAsia="ヒラギノ角ゴ Pro W3" w:hAnsi="Times New Roman"/>
        </w:rPr>
        <w:t>ePrints</w:t>
      </w:r>
      <w:proofErr w:type="spellEnd"/>
      <w:r>
        <w:rPr>
          <w:rFonts w:ascii="Times New Roman" w:eastAsia="ヒラギノ角ゴ Pro W3" w:hAnsi="Times New Roman"/>
        </w:rPr>
        <w:t xml:space="preserve"> at Southampton University, Hey (2004) concludes that:</w:t>
      </w:r>
    </w:p>
    <w:p w:rsidR="00BD080C" w:rsidRDefault="00BD080C" w:rsidP="0004563D">
      <w:pPr>
        <w:ind w:left="720"/>
        <w:rPr>
          <w:rFonts w:ascii="Times New Roman" w:eastAsia="ヒラギノ角ゴ Pro W3" w:hAnsi="Times New Roman"/>
          <w:sz w:val="22"/>
        </w:rPr>
      </w:pPr>
    </w:p>
    <w:p w:rsidR="00AC0C75" w:rsidRDefault="00EA4BAD" w:rsidP="0004563D">
      <w:pPr>
        <w:ind w:left="720"/>
        <w:rPr>
          <w:rFonts w:ascii="Times New Roman" w:eastAsia="ヒラギノ角ゴ Pro W3" w:hAnsi="Times New Roman"/>
        </w:rPr>
      </w:pPr>
      <w:r>
        <w:rPr>
          <w:rFonts w:ascii="Times New Roman" w:eastAsia="ヒラギノ角ゴ Pro W3" w:hAnsi="Times New Roman"/>
          <w:sz w:val="22"/>
        </w:rPr>
        <w:t xml:space="preserve">To achieve a sustainable repository we need to integrate our archive within the natural processes of its staff and students; this gives them the bonus of a reusable resource. While immediate visibility leading to increased research impact is the primary aim of </w:t>
      </w:r>
      <w:proofErr w:type="spellStart"/>
      <w:r>
        <w:rPr>
          <w:rFonts w:ascii="Times New Roman" w:eastAsia="ヒラギノ角ゴ Pro W3" w:hAnsi="Times New Roman"/>
          <w:sz w:val="22"/>
        </w:rPr>
        <w:t>Stevan</w:t>
      </w:r>
      <w:proofErr w:type="spellEnd"/>
      <w:r>
        <w:rPr>
          <w:rFonts w:ascii="Times New Roman" w:eastAsia="ヒラギノ角ゴ Pro W3" w:hAnsi="Times New Roman"/>
          <w:sz w:val="22"/>
        </w:rPr>
        <w:t xml:space="preserve"> </w:t>
      </w:r>
      <w:proofErr w:type="spellStart"/>
      <w:r>
        <w:rPr>
          <w:rFonts w:ascii="Times New Roman" w:eastAsia="ヒラギノ角ゴ Pro W3" w:hAnsi="Times New Roman"/>
          <w:sz w:val="22"/>
        </w:rPr>
        <w:t>Harnard's</w:t>
      </w:r>
      <w:proofErr w:type="spellEnd"/>
      <w:r>
        <w:rPr>
          <w:rFonts w:ascii="Times New Roman" w:eastAsia="ヒラギノ角ゴ Pro W3" w:hAnsi="Times New Roman"/>
          <w:sz w:val="22"/>
        </w:rPr>
        <w:t xml:space="preserve"> campaigns, we can achieve this by example, practice and cooperation. </w:t>
      </w:r>
    </w:p>
    <w:p w:rsidR="00BD080C" w:rsidRDefault="00BD080C" w:rsidP="0004563D">
      <w:pPr>
        <w:pStyle w:val="Heading1"/>
      </w:pPr>
      <w:r>
        <w:t>Digital literacies</w:t>
      </w:r>
    </w:p>
    <w:p w:rsidR="00BD080C" w:rsidRDefault="00BD080C" w:rsidP="00BD080C">
      <w:r>
        <w:t xml:space="preserve">Jenkins </w:t>
      </w:r>
      <w:r>
        <w:fldChar w:fldCharType="begin"/>
      </w:r>
      <w:r>
        <w:instrText xml:space="preserve"> ADDIN EN.CITE &lt;EndNote&gt;&lt;Cite ExcludeAuth="1"&gt;&lt;Author&gt;Jenkins&lt;/Author&gt;&lt;Year&gt;2009&lt;/Year&gt;&lt;RecNum&gt;249&lt;/RecNum&gt;&lt;DisplayText&gt;(2009)&lt;/DisplayText&gt;&lt;record&gt;&lt;rec-number&gt;249&lt;/rec-number&gt;&lt;foreign-keys&gt;&lt;key app="EN" db-id="2errrtwrme9dt5e5fpyv5pta2fzsx5vrd0zz"&gt;249&lt;/key&gt;&lt;/foreign-keys&gt;&lt;ref-type name="Book"&gt;6&lt;/ref-type&gt;&lt;contributors&gt;&lt;authors&gt;&lt;author&gt;Jenkins, H.&lt;/author&gt;&lt;/authors&gt;&lt;/contributors&gt;&lt;titles&gt;&lt;title&gt;Confronting the challenges of participatory culture: Media education for the 21st century&lt;/title&gt;&lt;/titles&gt;&lt;dates&gt;&lt;year&gt;2009&lt;/year&gt;&lt;/dates&gt;&lt;publisher&gt;Mit Pr&lt;/publisher&gt;&lt;urls&gt;&lt;/urls&gt;&lt;/record&gt;&lt;/Cite&gt;&lt;/EndNote&gt;</w:instrText>
      </w:r>
      <w:r>
        <w:fldChar w:fldCharType="separate"/>
      </w:r>
      <w:r>
        <w:rPr>
          <w:noProof/>
        </w:rPr>
        <w:t>(</w:t>
      </w:r>
      <w:hyperlink w:anchor="_ENREF_23" w:tooltip="Jenkins, 2009 #249" w:history="1">
        <w:r w:rsidR="009C7F84">
          <w:rPr>
            <w:noProof/>
          </w:rPr>
          <w:t>2009</w:t>
        </w:r>
      </w:hyperlink>
      <w:r>
        <w:rPr>
          <w:noProof/>
        </w:rPr>
        <w:t>)</w:t>
      </w:r>
      <w:r>
        <w:fldChar w:fldCharType="end"/>
      </w:r>
      <w:r>
        <w:t xml:space="preserve"> lists eleven digital literacies which he argues are needed to be part of what he terms today’s participatory culture. They are: play, collective intelligence, judgment, </w:t>
      </w:r>
      <w:proofErr w:type="spellStart"/>
      <w:r>
        <w:t>transmedia</w:t>
      </w:r>
      <w:proofErr w:type="spellEnd"/>
      <w:r>
        <w:t xml:space="preserve"> navigation, networking, negotiation, distributed intelligence, multitasking, appropriation, simulation and performance. I would add a twelfth, creativity. This list demonstrates the complex way in which we interact in digital networks and represents the set of skills we need to be able to harness and appropriate the affordances </w:t>
      </w:r>
      <w:r>
        <w:fldChar w:fldCharType="begin"/>
      </w:r>
      <w:r>
        <w:instrText xml:space="preserve"> ADDIN EN.CITE &lt;EndNote&gt;&lt;Cite&gt;&lt;Author&gt;Gibson&lt;/Author&gt;&lt;Year&gt;1979&lt;/Year&gt;&lt;RecNum&gt;24&lt;/RecNum&gt;&lt;DisplayText&gt;(Gibson 1979; Conole and Dyke 2004)&lt;/DisplayText&gt;&lt;record&gt;&lt;rec-number&gt;24&lt;/rec-number&gt;&lt;foreign-keys&gt;&lt;key app="EN" db-id="2errrtwrme9dt5e5fpyv5pta2fzsx5vrd0zz"&gt;24&lt;/key&gt;&lt;/foreign-keys&gt;&lt;ref-type name="Book"&gt;6&lt;/ref-type&gt;&lt;contributors&gt;&lt;authors&gt;&lt;author&gt;J J  Gibson &lt;/author&gt;&lt;/authors&gt;&lt;/contributors&gt;&lt;titles&gt;&lt;title&gt;The ecological approach to visual perception&lt;/title&gt;&lt;/titles&gt;&lt;dates&gt;&lt;year&gt;1979&lt;/year&gt;&lt;/dates&gt;&lt;pub-location&gt;Hillsdale, New Jersey&lt;/pub-location&gt;&lt;publisher&gt;Lawrence Erlbaum Associated&lt;/publisher&gt;&lt;urls&gt;&lt;/urls&gt;&lt;/record&gt;&lt;/Cite&gt;&lt;Cite&gt;&lt;Author&gt;Conole&lt;/Author&gt;&lt;Year&gt;2004&lt;/Year&gt;&lt;RecNum&gt;300&lt;/RecNum&gt;&lt;record&gt;&lt;rec-number&gt;300&lt;/rec-number&gt;&lt;foreign-keys&gt;&lt;key app="EN" db-id="2errrtwrme9dt5e5fpyv5pta2fzsx5vrd0zz"&gt;300&lt;/key&gt;&lt;/foreign-keys&gt;&lt;ref-type name="Journal Article"&gt;17&lt;/ref-type&gt;&lt;contributors&gt;&lt;authors&gt;&lt;author&gt;Conole, Grainne&lt;/author&gt;&lt;author&gt;Dyke, Martin&lt;/author&gt;&lt;/authors&gt;&lt;/contributors&gt;&lt;titles&gt;&lt;title&gt;What are the affordances of information and communication technologies?&lt;/title&gt;&lt;secondary-title&gt;ALT-J&lt;/secondary-title&gt;&lt;/titles&gt;&lt;pages&gt;113-124 %U http://oro.open.ac.uk/6981/&lt;/pages&gt;&lt;volume&gt;12&lt;/volume&gt;&lt;number&gt;2&lt;/number&gt;&lt;dates&gt;&lt;year&gt;2004&lt;/year&gt;&lt;/dates&gt;&lt;urls&gt;&lt;/urls&gt;&lt;/record&gt;&lt;/Cite&gt;&lt;/EndNote&gt;</w:instrText>
      </w:r>
      <w:r>
        <w:fldChar w:fldCharType="separate"/>
      </w:r>
      <w:r>
        <w:rPr>
          <w:noProof/>
        </w:rPr>
        <w:t>(</w:t>
      </w:r>
      <w:hyperlink w:anchor="_ENREF_19" w:tooltip="Gibson, 1979 #24" w:history="1">
        <w:r w:rsidR="009C7F84">
          <w:rPr>
            <w:noProof/>
          </w:rPr>
          <w:t>Gibson 1979</w:t>
        </w:r>
      </w:hyperlink>
      <w:r>
        <w:rPr>
          <w:noProof/>
        </w:rPr>
        <w:t xml:space="preserve">; </w:t>
      </w:r>
      <w:hyperlink w:anchor="_ENREF_16" w:tooltip="Conole, 2004 #300" w:history="1">
        <w:r w:rsidR="009C7F84">
          <w:rPr>
            <w:noProof/>
          </w:rPr>
          <w:t>Conole and Dyke 2004</w:t>
        </w:r>
      </w:hyperlink>
      <w:r>
        <w:rPr>
          <w:noProof/>
        </w:rPr>
        <w:t>)</w:t>
      </w:r>
      <w:r>
        <w:fldChar w:fldCharType="end"/>
      </w:r>
      <w:r>
        <w:t xml:space="preserve"> of social and participatory media. Together these digital literacies enable us to find and manage information and to communicate and collaborate with others. These media offer rich multimedia representations and there are </w:t>
      </w:r>
      <w:proofErr w:type="gramStart"/>
      <w:r>
        <w:t>a plethora</w:t>
      </w:r>
      <w:proofErr w:type="gramEnd"/>
      <w:r>
        <w:t xml:space="preserve"> of ways in which we can interact and connect with others. </w:t>
      </w:r>
    </w:p>
    <w:p w:rsidR="00BD080C" w:rsidRDefault="00BD080C" w:rsidP="00BD080C"/>
    <w:p w:rsidR="00BD080C" w:rsidRDefault="00BD080C" w:rsidP="00BD080C">
      <w:r>
        <w:t>The statistics associated with social media are truly profound as this short YouTube video demonstrates.</w:t>
      </w:r>
      <w:r>
        <w:rPr>
          <w:rStyle w:val="FootnoteReference"/>
        </w:rPr>
        <w:footnoteReference w:id="17"/>
      </w:r>
      <w:r>
        <w:t xml:space="preserve"> The figures are truly staggering; for example if </w:t>
      </w:r>
      <w:proofErr w:type="spellStart"/>
      <w:r>
        <w:t>facebook</w:t>
      </w:r>
      <w:proofErr w:type="spellEnd"/>
      <w:r>
        <w:t xml:space="preserve"> was a country it would be the third latest in the world, Clearly social and participatory media have significant potential to foster new approaches to learning, teaching and research, however to be used effectively we, as learners, teachers and researchers, need to develop a complex new set of digital literacy skills. </w:t>
      </w:r>
    </w:p>
    <w:p w:rsidR="00BD080C" w:rsidRDefault="00BD080C" w:rsidP="00BD080C"/>
    <w:p w:rsidR="00BD080C" w:rsidRDefault="00BD080C" w:rsidP="00BD080C"/>
    <w:p w:rsidR="00BD080C" w:rsidRDefault="00BD080C" w:rsidP="00BD080C">
      <w:pPr>
        <w:rPr>
          <w:rFonts w:ascii="Times New Roman" w:eastAsia="ヒラギノ角ゴ Pro W3" w:hAnsi="Times New Roman"/>
        </w:rPr>
      </w:pPr>
      <w:r>
        <w:rPr>
          <w:rFonts w:ascii="Times New Roman" w:eastAsia="ヒラギノ角ゴ Pro W3" w:hAnsi="Times New Roman"/>
        </w:rPr>
        <w:t xml:space="preserve">A body of research has emerged in recent years around the competences and skills needed to effectively use and interact with new technologies. Terms such as digital </w:t>
      </w:r>
      <w:r>
        <w:rPr>
          <w:rFonts w:ascii="Times New Roman" w:eastAsia="ヒラギノ角ゴ Pro W3" w:hAnsi="Times New Roman"/>
        </w:rPr>
        <w:lastRenderedPageBreak/>
        <w:t>literacies, information literacies, 21</w:t>
      </w:r>
      <w:r>
        <w:rPr>
          <w:rFonts w:ascii="Times New Roman" w:eastAsia="ヒラギノ角ゴ Pro W3" w:hAnsi="Times New Roman"/>
          <w:vertAlign w:val="superscript"/>
        </w:rPr>
        <w:t>st</w:t>
      </w:r>
      <w:r>
        <w:rPr>
          <w:rFonts w:ascii="Times New Roman" w:eastAsia="ヒラギノ角ゴ Pro W3" w:hAnsi="Times New Roman"/>
        </w:rPr>
        <w:t xml:space="preserve"> Century literacies have been used; each with subtle nuances and different foci (Jenkins, 2009; </w:t>
      </w:r>
      <w:proofErr w:type="spellStart"/>
      <w:r>
        <w:rPr>
          <w:rFonts w:ascii="Times New Roman" w:eastAsia="ヒラギノ角ゴ Pro W3" w:hAnsi="Times New Roman"/>
        </w:rPr>
        <w:t>Goodfellow</w:t>
      </w:r>
      <w:proofErr w:type="spellEnd"/>
      <w:r>
        <w:rPr>
          <w:rFonts w:ascii="Times New Roman" w:eastAsia="ヒラギノ角ゴ Pro W3" w:hAnsi="Times New Roman"/>
        </w:rPr>
        <w:t xml:space="preserve"> and Lea, 2007l </w:t>
      </w:r>
      <w:proofErr w:type="spellStart"/>
      <w:r>
        <w:rPr>
          <w:rFonts w:ascii="Times New Roman" w:eastAsia="ヒラギノ角ゴ Pro W3" w:hAnsi="Times New Roman"/>
        </w:rPr>
        <w:t>Lankshear</w:t>
      </w:r>
      <w:proofErr w:type="spellEnd"/>
      <w:r>
        <w:rPr>
          <w:rFonts w:ascii="Times New Roman" w:eastAsia="ヒラギノ角ゴ Pro W3" w:hAnsi="Times New Roman"/>
        </w:rPr>
        <w:t xml:space="preserve"> and </w:t>
      </w:r>
      <w:proofErr w:type="spellStart"/>
      <w:r>
        <w:rPr>
          <w:rFonts w:ascii="Times New Roman" w:eastAsia="ヒラギノ角ゴ Pro W3" w:hAnsi="Times New Roman"/>
        </w:rPr>
        <w:t>Knobel</w:t>
      </w:r>
      <w:proofErr w:type="spellEnd"/>
      <w:r>
        <w:rPr>
          <w:rFonts w:ascii="Times New Roman" w:eastAsia="ヒラギノ角ゴ Pro W3" w:hAnsi="Times New Roman"/>
        </w:rPr>
        <w:t>, 2006). Literacies can be seen as a c</w:t>
      </w:r>
      <w:r w:rsidRPr="00231A23">
        <w:rPr>
          <w:rFonts w:ascii="Times New Roman" w:eastAsia="ヒラギノ角ゴ Pro W3" w:hAnsi="Times New Roman"/>
        </w:rPr>
        <w:t>ontinuum from instrumental skills to productive competence and efficiency</w:t>
      </w:r>
      <w:r>
        <w:rPr>
          <w:rFonts w:ascii="Times New Roman" w:eastAsia="ヒラギノ角ゴ Pro W3" w:hAnsi="Times New Roman"/>
        </w:rPr>
        <w:t xml:space="preserve">. </w:t>
      </w:r>
      <w:proofErr w:type="spellStart"/>
      <w:r>
        <w:rPr>
          <w:rFonts w:ascii="Times New Roman" w:eastAsia="ヒラギノ角ゴ Pro W3" w:hAnsi="Times New Roman"/>
        </w:rPr>
        <w:t>Lankshear</w:t>
      </w:r>
      <w:proofErr w:type="spellEnd"/>
      <w:r>
        <w:rPr>
          <w:rFonts w:ascii="Times New Roman" w:eastAsia="ヒラギノ角ゴ Pro W3" w:hAnsi="Times New Roman"/>
        </w:rPr>
        <w:t xml:space="preserve"> and </w:t>
      </w:r>
      <w:proofErr w:type="spellStart"/>
      <w:r>
        <w:rPr>
          <w:rFonts w:ascii="Times New Roman" w:eastAsia="ヒラギノ角ゴ Pro W3" w:hAnsi="Times New Roman"/>
        </w:rPr>
        <w:t>Knobel</w:t>
      </w:r>
      <w:proofErr w:type="spellEnd"/>
      <w:r>
        <w:rPr>
          <w:rFonts w:ascii="Times New Roman" w:eastAsia="ヒラギノ角ゴ Pro W3" w:hAnsi="Times New Roman"/>
        </w:rPr>
        <w:t xml:space="preserve"> </w:t>
      </w:r>
      <w:r>
        <w:rPr>
          <w:rFonts w:ascii="Times New Roman" w:eastAsia="ヒラギノ角ゴ Pro W3" w:hAnsi="Times New Roman"/>
        </w:rPr>
        <w:fldChar w:fldCharType="begin"/>
      </w:r>
      <w:r>
        <w:rPr>
          <w:rFonts w:ascii="Times New Roman" w:eastAsia="ヒラギノ角ゴ Pro W3" w:hAnsi="Times New Roman"/>
        </w:rPr>
        <w:instrText xml:space="preserve"> ADDIN EN.CITE &lt;EndNote&gt;&lt;Cite ExcludeAuth="1"&gt;&lt;Author&gt;Lankshear&lt;/Author&gt;&lt;Year&gt;2006&lt;/Year&gt;&lt;RecNum&gt;101&lt;/RecNum&gt;&lt;DisplayText&gt;(2006)&lt;/DisplayText&gt;&lt;record&gt;&lt;rec-number&gt;101&lt;/rec-number&gt;&lt;foreign-keys&gt;&lt;key app="EN" db-id="2errrtwrme9dt5e5fpyv5pta2fzsx5vrd0zz"&gt;101&lt;/key&gt;&lt;/foreign-keys&gt;&lt;ref-type name="Journal Article"&gt;17&lt;/ref-type&gt;&lt;contributors&gt;&lt;authors&gt;&lt;author&gt;Lankshear, C.&lt;/author&gt;&lt;author&gt;Knobel, M.&lt;/author&gt;&lt;/authors&gt;&lt;/contributors&gt;&lt;titles&gt;&lt;title&gt;Digital literacies: Policy, pedagogy and research considerations for education&lt;/title&gt;&lt;secondary-title&gt;Nordic Journal of digital literacy&lt;/secondary-title&gt;&lt;/titles&gt;&lt;pages&gt;226&lt;/pages&gt;&lt;volume&gt;1&lt;/volume&gt;&lt;number&gt;1&lt;/number&gt;&lt;dates&gt;&lt;year&gt;2006&lt;/year&gt;&lt;/dates&gt;&lt;urls&gt;&lt;/urls&gt;&lt;/record&gt;&lt;/Cite&gt;&lt;/EndNote&gt;</w:instrText>
      </w:r>
      <w:r>
        <w:rPr>
          <w:rFonts w:ascii="Times New Roman" w:eastAsia="ヒラギノ角ゴ Pro W3" w:hAnsi="Times New Roman"/>
        </w:rPr>
        <w:fldChar w:fldCharType="separate"/>
      </w:r>
      <w:r>
        <w:rPr>
          <w:rFonts w:ascii="Times New Roman" w:eastAsia="ヒラギノ角ゴ Pro W3" w:hAnsi="Times New Roman"/>
          <w:noProof/>
        </w:rPr>
        <w:t>(</w:t>
      </w:r>
      <w:hyperlink w:anchor="_ENREF_24" w:tooltip="Lankshear, 2006 #101" w:history="1">
        <w:r w:rsidR="009C7F84">
          <w:rPr>
            <w:rFonts w:ascii="Times New Roman" w:eastAsia="ヒラギノ角ゴ Pro W3" w:hAnsi="Times New Roman"/>
            <w:noProof/>
          </w:rPr>
          <w:t>2006</w:t>
        </w:r>
      </w:hyperlink>
      <w:r>
        <w:rPr>
          <w:rFonts w:ascii="Times New Roman" w:eastAsia="ヒラギノ角ゴ Pro W3" w:hAnsi="Times New Roman"/>
          <w:noProof/>
        </w:rPr>
        <w:t>)</w:t>
      </w:r>
      <w:r>
        <w:rPr>
          <w:rFonts w:ascii="Times New Roman" w:eastAsia="ヒラギノ角ゴ Pro W3" w:hAnsi="Times New Roman"/>
        </w:rPr>
        <w:fldChar w:fldCharType="end"/>
      </w:r>
      <w:r w:rsidRPr="00231A23">
        <w:rPr>
          <w:rFonts w:ascii="Times New Roman" w:eastAsia="ヒラギノ角ゴ Pro W3" w:hAnsi="Times New Roman"/>
        </w:rPr>
        <w:t xml:space="preserve"> </w:t>
      </w:r>
      <w:r>
        <w:rPr>
          <w:rFonts w:ascii="Times New Roman" w:eastAsia="ヒラギノ角ゴ Pro W3" w:hAnsi="Times New Roman"/>
        </w:rPr>
        <w:t xml:space="preserve">adopt a </w:t>
      </w:r>
      <w:proofErr w:type="spellStart"/>
      <w:r w:rsidRPr="00231A23">
        <w:rPr>
          <w:rFonts w:ascii="Times New Roman" w:eastAsia="ヒラギノ角ゴ Pro W3" w:hAnsi="Times New Roman"/>
        </w:rPr>
        <w:t>ocio</w:t>
      </w:r>
      <w:proofErr w:type="spellEnd"/>
      <w:r w:rsidRPr="00231A23">
        <w:rPr>
          <w:rFonts w:ascii="Times New Roman" w:eastAsia="ヒラギノ角ゴ Pro W3" w:hAnsi="Times New Roman"/>
        </w:rPr>
        <w:t>-cult</w:t>
      </w:r>
      <w:r>
        <w:rPr>
          <w:rFonts w:ascii="Times New Roman" w:eastAsia="ヒラギノ角ゴ Pro W3" w:hAnsi="Times New Roman"/>
        </w:rPr>
        <w:t xml:space="preserve">ural view of digital literacy and argue that they are the </w:t>
      </w:r>
      <w:r w:rsidRPr="00231A23">
        <w:rPr>
          <w:rFonts w:ascii="Times New Roman" w:eastAsia="ヒラギノ角ゴ Pro W3" w:hAnsi="Times New Roman"/>
        </w:rPr>
        <w:t xml:space="preserve">set of social practices and </w:t>
      </w:r>
      <w:r>
        <w:rPr>
          <w:rFonts w:ascii="Times New Roman" w:eastAsia="ヒラギノ角ゴ Pro W3" w:hAnsi="Times New Roman"/>
        </w:rPr>
        <w:t>meaning making associated with interacting with digital tools. Fundamentally the central issue is about the literacies needed to communicate with others and make sense of information (and more specifically how to do this in a digital context).</w:t>
      </w:r>
    </w:p>
    <w:p w:rsidR="00BD080C" w:rsidRDefault="00BD080C" w:rsidP="00BD080C">
      <w:pPr>
        <w:rPr>
          <w:rFonts w:ascii="Times New Roman" w:eastAsia="ヒラギノ角ゴ Pro W3" w:hAnsi="Times New Roman"/>
        </w:rPr>
      </w:pPr>
    </w:p>
    <w:p w:rsidR="00BD080C" w:rsidRDefault="00BD080C" w:rsidP="00BD080C">
      <w:pPr>
        <w:rPr>
          <w:rFonts w:ascii="Times New Roman" w:eastAsia="ヒラギノ角ゴ Pro W3" w:hAnsi="Times New Roman"/>
        </w:rPr>
      </w:pPr>
      <w:r>
        <w:rPr>
          <w:rFonts w:ascii="Times New Roman" w:eastAsia="ヒラギノ角ゴ Pro W3" w:hAnsi="Times New Roman"/>
        </w:rPr>
        <w:t xml:space="preserve">Returning now to Jenkins list of digital literacies, I will now expand on some of the terms and demonstrate how they are realised through use of digital technologies. The web is complex and vast, </w:t>
      </w:r>
      <w:proofErr w:type="spellStart"/>
      <w:r>
        <w:rPr>
          <w:rFonts w:ascii="Times New Roman" w:eastAsia="ヒラギノ角ゴ Pro W3" w:hAnsi="Times New Roman"/>
        </w:rPr>
        <w:t>transmedia</w:t>
      </w:r>
      <w:proofErr w:type="spellEnd"/>
      <w:r>
        <w:rPr>
          <w:rFonts w:ascii="Times New Roman" w:eastAsia="ヒラギノ角ゴ Pro W3" w:hAnsi="Times New Roman"/>
        </w:rPr>
        <w:t xml:space="preserve"> navigation is a key skill needed to be able to navigate this terrain. Arguably any information we want is available on the web, but finding appropriate resources and tools and evaluating their relevance is non-trivial. A good example of this is how learners are interacting in a ne</w:t>
      </w:r>
      <w:r w:rsidR="009C7F84">
        <w:rPr>
          <w:rFonts w:ascii="Times New Roman" w:eastAsia="ヒラギノ角ゴ Pro W3" w:hAnsi="Times New Roman"/>
        </w:rPr>
        <w:t>w form of open and free courses or</w:t>
      </w:r>
      <w:r>
        <w:rPr>
          <w:rFonts w:ascii="Times New Roman" w:eastAsia="ヒラギノ角ゴ Pro W3" w:hAnsi="Times New Roman"/>
        </w:rPr>
        <w:t xml:space="preserve"> MOOCs (Massive Open Online Courses)</w:t>
      </w:r>
      <w:r w:rsidR="009C7F84">
        <w:rPr>
          <w:rFonts w:ascii="Times New Roman" w:eastAsia="ヒラギノ角ゴ Pro W3" w:hAnsi="Times New Roman"/>
        </w:rPr>
        <w:t xml:space="preserve"> as described earlier</w:t>
      </w:r>
      <w:r>
        <w:rPr>
          <w:rFonts w:ascii="Times New Roman" w:eastAsia="ヒラギノ角ゴ Pro W3" w:hAnsi="Times New Roman"/>
        </w:rPr>
        <w:t xml:space="preserve">. Thousands sign up to participate in these courses, although the number that complete them and get any form of accreditation is much larger. Evaluation of users’ perceptions of these MOOCs indicates that many get lost easily and find participation far from satisfying. </w:t>
      </w:r>
      <w:proofErr w:type="gramStart"/>
      <w:r>
        <w:rPr>
          <w:rFonts w:ascii="Times New Roman" w:eastAsia="ヒラギノ角ゴ Pro W3" w:hAnsi="Times New Roman"/>
        </w:rPr>
        <w:t>The sheer size and complexity of MOOCs is overwhelming; with each learner having to define their own personal learning environment and learning pathway through the course.</w:t>
      </w:r>
      <w:proofErr w:type="gramEnd"/>
      <w:r>
        <w:rPr>
          <w:rFonts w:ascii="Times New Roman" w:eastAsia="ヒラギノ角ゴ Pro W3" w:hAnsi="Times New Roman"/>
        </w:rPr>
        <w:t xml:space="preserve"> </w:t>
      </w:r>
    </w:p>
    <w:p w:rsidR="00BD080C" w:rsidRDefault="00BD080C" w:rsidP="00BD080C">
      <w:pPr>
        <w:rPr>
          <w:rFonts w:ascii="Times New Roman" w:eastAsia="ヒラギノ角ゴ Pro W3" w:hAnsi="Times New Roman"/>
        </w:rPr>
      </w:pPr>
    </w:p>
    <w:p w:rsidR="00BD080C" w:rsidRDefault="00BD080C" w:rsidP="00BD080C">
      <w:pPr>
        <w:rPr>
          <w:rFonts w:ascii="Times New Roman" w:eastAsia="ヒラギノ角ゴ Pro W3" w:hAnsi="Times New Roman"/>
        </w:rPr>
      </w:pPr>
      <w:r>
        <w:rPr>
          <w:rFonts w:ascii="Times New Roman" w:eastAsia="ヒラギノ角ゴ Pro W3" w:hAnsi="Times New Roman"/>
        </w:rPr>
        <w:t xml:space="preserve">Distributed cognition was defined by </w:t>
      </w:r>
      <w:proofErr w:type="spellStart"/>
      <w:r>
        <w:rPr>
          <w:rFonts w:ascii="Times New Roman" w:eastAsia="ヒラギノ角ゴ Pro W3" w:hAnsi="Times New Roman"/>
        </w:rPr>
        <w:t>Saloman</w:t>
      </w:r>
      <w:proofErr w:type="spellEnd"/>
      <w:r>
        <w:rPr>
          <w:rFonts w:ascii="Times New Roman" w:eastAsia="ヒラギノ角ゴ Pro W3" w:hAnsi="Times New Roman"/>
        </w:rPr>
        <w:t xml:space="preserve"> in the nineties </w:t>
      </w:r>
      <w:r>
        <w:rPr>
          <w:rFonts w:ascii="Times New Roman" w:eastAsia="ヒラギノ角ゴ Pro W3" w:hAnsi="Times New Roman"/>
        </w:rPr>
        <w:fldChar w:fldCharType="begin"/>
      </w:r>
      <w:r>
        <w:rPr>
          <w:rFonts w:ascii="Times New Roman" w:eastAsia="ヒラギノ角ゴ Pro W3" w:hAnsi="Times New Roman"/>
        </w:rPr>
        <w:instrText xml:space="preserve"> ADDIN EN.CITE &lt;EndNote&gt;&lt;Cite&gt;&lt;Author&gt;Salomon&lt;/Author&gt;&lt;Year&gt;1993&lt;/Year&gt;&lt;RecNum&gt;25&lt;/RecNum&gt;&lt;DisplayText&gt;(Salomon 1993)&lt;/DisplayText&gt;&lt;record&gt;&lt;rec-number&gt;25&lt;/rec-number&gt;&lt;foreign-keys&gt;&lt;key app="EN" db-id="2errrtwrme9dt5e5fpyv5pta2fzsx5vrd0zz"&gt;25&lt;/key&gt;&lt;/foreign-keys&gt;&lt;ref-type name="Edited Book"&gt;28&lt;/ref-type&gt;&lt;contributors&gt;&lt;authors&gt;&lt;author&gt;G Salomon&lt;/author&gt;&lt;/authors&gt;&lt;/contributors&gt;&lt;titles&gt;&lt;title&gt;Distributed cognitions - pyschological and educational considerations&lt;/title&gt;&lt;/titles&gt;&lt;dates&gt;&lt;year&gt;1993&lt;/year&gt;&lt;/dates&gt;&lt;pub-location&gt;Cambridge&lt;/pub-location&gt;&lt;publisher&gt;Cambridge University Press&lt;/publisher&gt;&lt;urls&gt;&lt;/urls&gt;&lt;/record&gt;&lt;/Cite&gt;&lt;/EndNote&gt;</w:instrText>
      </w:r>
      <w:r>
        <w:rPr>
          <w:rFonts w:ascii="Times New Roman" w:eastAsia="ヒラギノ角ゴ Pro W3" w:hAnsi="Times New Roman"/>
        </w:rPr>
        <w:fldChar w:fldCharType="separate"/>
      </w:r>
      <w:r>
        <w:rPr>
          <w:rFonts w:ascii="Times New Roman" w:eastAsia="ヒラギノ角ゴ Pro W3" w:hAnsi="Times New Roman"/>
          <w:noProof/>
        </w:rPr>
        <w:t>(</w:t>
      </w:r>
      <w:hyperlink w:anchor="_ENREF_31" w:tooltip="Salomon, 1993 #25" w:history="1">
        <w:r w:rsidR="009C7F84">
          <w:rPr>
            <w:rFonts w:ascii="Times New Roman" w:eastAsia="ヒラギノ角ゴ Pro W3" w:hAnsi="Times New Roman"/>
            <w:noProof/>
          </w:rPr>
          <w:t>Salomon 1993</w:t>
        </w:r>
      </w:hyperlink>
      <w:r>
        <w:rPr>
          <w:rFonts w:ascii="Times New Roman" w:eastAsia="ヒラギノ角ゴ Pro W3" w:hAnsi="Times New Roman"/>
          <w:noProof/>
        </w:rPr>
        <w:t>)</w:t>
      </w:r>
      <w:r>
        <w:rPr>
          <w:rFonts w:ascii="Times New Roman" w:eastAsia="ヒラギノ角ゴ Pro W3" w:hAnsi="Times New Roman"/>
        </w:rPr>
        <w:fldChar w:fldCharType="end"/>
      </w:r>
      <w:r>
        <w:rPr>
          <w:rFonts w:ascii="Times New Roman" w:eastAsia="ヒラギノ角ゴ Pro W3" w:hAnsi="Times New Roman"/>
        </w:rPr>
        <w:t xml:space="preserve">. In essence this refers to the fact that our cognition is distributed between ours brains and our digital environment. We increasingly use a range of information management tools to collate and aggregate relevant </w:t>
      </w:r>
      <w:r w:rsidR="009C7F84">
        <w:rPr>
          <w:rFonts w:ascii="Times New Roman" w:eastAsia="ヒラギノ角ゴ Pro W3" w:hAnsi="Times New Roman"/>
        </w:rPr>
        <w:t>resources;</w:t>
      </w:r>
      <w:r>
        <w:rPr>
          <w:rFonts w:ascii="Times New Roman" w:eastAsia="ヒラギノ角ゴ Pro W3" w:hAnsi="Times New Roman"/>
        </w:rPr>
        <w:t xml:space="preserve"> we harness our social networks in terms of getting answers to queries and participating in </w:t>
      </w:r>
      <w:proofErr w:type="spellStart"/>
      <w:r>
        <w:rPr>
          <w:rFonts w:ascii="Times New Roman" w:eastAsia="ヒラギノ角ゴ Pro W3" w:hAnsi="Times New Roman"/>
        </w:rPr>
        <w:t>ongoing</w:t>
      </w:r>
      <w:proofErr w:type="spellEnd"/>
      <w:r>
        <w:rPr>
          <w:rFonts w:ascii="Times New Roman" w:eastAsia="ヒラギノ角ゴ Pro W3" w:hAnsi="Times New Roman"/>
        </w:rPr>
        <w:t xml:space="preserve"> discourses and shared co-construction of knowledge. We are no longer isolated individuals, but part of a global distributed network of others and tools. </w:t>
      </w:r>
    </w:p>
    <w:p w:rsidR="00BD080C" w:rsidRDefault="00BD080C" w:rsidP="00BD080C">
      <w:pPr>
        <w:rPr>
          <w:rFonts w:ascii="Times New Roman" w:eastAsia="ヒラギノ角ゴ Pro W3" w:hAnsi="Times New Roman"/>
        </w:rPr>
      </w:pPr>
    </w:p>
    <w:p w:rsidR="00BD080C" w:rsidRDefault="00BD080C" w:rsidP="00BD080C">
      <w:pPr>
        <w:rPr>
          <w:rFonts w:ascii="Times New Roman" w:eastAsia="ヒラギノ角ゴ Pro W3" w:hAnsi="Times New Roman"/>
        </w:rPr>
      </w:pPr>
      <w:r>
        <w:rPr>
          <w:rFonts w:ascii="Times New Roman" w:eastAsia="ヒラギノ角ゴ Pro W3" w:hAnsi="Times New Roman"/>
        </w:rPr>
        <w:t xml:space="preserve">Anyone who has seen children interacting with technologies, will agree that play is an essential digital literacies. Children don’t reach for a manual when starting to use a new tool, they simply start to interact and explore, learning through playing. This active, learner-centred approach is a key facet of new technologies and increasingly the interfaces of new tools </w:t>
      </w:r>
      <w:proofErr w:type="gramStart"/>
      <w:r>
        <w:rPr>
          <w:rFonts w:ascii="Times New Roman" w:eastAsia="ヒラギノ角ゴ Pro W3" w:hAnsi="Times New Roman"/>
        </w:rPr>
        <w:t>is</w:t>
      </w:r>
      <w:proofErr w:type="gramEnd"/>
      <w:r>
        <w:rPr>
          <w:rFonts w:ascii="Times New Roman" w:eastAsia="ヒラギノ角ゴ Pro W3" w:hAnsi="Times New Roman"/>
        </w:rPr>
        <w:t xml:space="preserve"> intuitive and self-explanatory. Play can be mapped to particular pedagogical approaches such as role-play and problem solving. A nice example comes from the SWIFT project,</w:t>
      </w:r>
      <w:r>
        <w:rPr>
          <w:rStyle w:val="FootnoteReference"/>
          <w:rFonts w:ascii="Times New Roman" w:eastAsia="ヒラギノ角ゴ Pro W3" w:hAnsi="Times New Roman"/>
        </w:rPr>
        <w:footnoteReference w:id="18"/>
      </w:r>
      <w:r>
        <w:rPr>
          <w:rFonts w:ascii="Times New Roman" w:eastAsia="ヒラギノ角ゴ Pro W3" w:hAnsi="Times New Roman"/>
        </w:rPr>
        <w:t xml:space="preserve"> which has developed a virtual Genetics laboratory in </w:t>
      </w:r>
      <w:proofErr w:type="spellStart"/>
      <w:r>
        <w:rPr>
          <w:rFonts w:ascii="Times New Roman" w:eastAsia="ヒラギノ角ゴ Pro W3" w:hAnsi="Times New Roman"/>
        </w:rPr>
        <w:t>SecondLife</w:t>
      </w:r>
      <w:proofErr w:type="spellEnd"/>
      <w:r>
        <w:rPr>
          <w:rFonts w:ascii="Times New Roman" w:eastAsia="ヒラギノ角ゴ Pro W3" w:hAnsi="Times New Roman"/>
        </w:rPr>
        <w:t xml:space="preserve">. To orientate new users to the environment there is a maze that the users walk through, there are various activities they complete along the way and by the end of the maze they are equipped with the basic skills needed to interact in the environment. They can then enter and interact with the Genetics laboratory, playing with instruments, taking measurements and learning basic laboratory techniques. </w:t>
      </w:r>
    </w:p>
    <w:p w:rsidR="00BD080C" w:rsidRDefault="00BD080C" w:rsidP="00BD080C">
      <w:pPr>
        <w:rPr>
          <w:rFonts w:ascii="Times New Roman" w:eastAsia="ヒラギノ角ゴ Pro W3" w:hAnsi="Times New Roman"/>
        </w:rPr>
      </w:pPr>
    </w:p>
    <w:p w:rsidR="00BD080C" w:rsidRDefault="00BD080C" w:rsidP="00BD080C">
      <w:pPr>
        <w:rPr>
          <w:rFonts w:ascii="Times New Roman" w:eastAsia="ヒラギノ角ゴ Pro W3" w:hAnsi="Times New Roman"/>
        </w:rPr>
      </w:pPr>
      <w:r>
        <w:rPr>
          <w:rFonts w:ascii="Times New Roman" w:eastAsia="ヒラギノ角ゴ Pro W3" w:hAnsi="Times New Roman"/>
        </w:rPr>
        <w:lastRenderedPageBreak/>
        <w:t xml:space="preserve">Networking is also a key characteristic of new technologies; the nature of your network and how you use it defines who you are in digital space. A network is only meaningful if you are connected to those with shared interests. Furthermore, it is important to give as well as take, active participation is expected. Within each social network we interact with others in a variety of ways. With both </w:t>
      </w:r>
      <w:proofErr w:type="spellStart"/>
      <w:r>
        <w:rPr>
          <w:rFonts w:ascii="Times New Roman" w:eastAsia="ヒラギノ角ゴ Pro W3" w:hAnsi="Times New Roman"/>
        </w:rPr>
        <w:t>facebook</w:t>
      </w:r>
      <w:proofErr w:type="spellEnd"/>
      <w:r>
        <w:rPr>
          <w:rFonts w:ascii="Times New Roman" w:eastAsia="ヒラギノ角ゴ Pro W3" w:hAnsi="Times New Roman"/>
        </w:rPr>
        <w:t xml:space="preserve"> and Twitter, I have a number of ‘onion layers’ of those I interact with; there is an inner core of friends and followers who I interact with on a regular basis and then a set of layers of users I interact with less and less, and finally those that follow me, but that I don’t follow. </w:t>
      </w:r>
    </w:p>
    <w:p w:rsidR="00BD080C" w:rsidRDefault="00BD080C" w:rsidP="00BD080C">
      <w:pPr>
        <w:rPr>
          <w:rFonts w:ascii="Times New Roman" w:eastAsia="ヒラギノ角ゴ Pro W3" w:hAnsi="Times New Roman"/>
        </w:rPr>
      </w:pPr>
    </w:p>
    <w:p w:rsidR="00BD080C" w:rsidRDefault="00BD080C" w:rsidP="00BD080C">
      <w:pPr>
        <w:pStyle w:val="NormalWeb"/>
        <w:spacing w:before="2" w:after="2"/>
        <w:rPr>
          <w:rFonts w:ascii="Times New Roman" w:eastAsia="ヒラギノ角ゴ Pro W3" w:hAnsi="Times New Roman"/>
          <w:sz w:val="24"/>
        </w:rPr>
      </w:pPr>
      <w:r w:rsidRPr="00953DDB">
        <w:rPr>
          <w:rFonts w:ascii="Times New Roman" w:eastAsia="ヒラギノ角ゴ Pro W3" w:hAnsi="Times New Roman"/>
          <w:sz w:val="24"/>
        </w:rPr>
        <w:t>Collective intelligence refers to the ability to be able to work with others to solve a problem or aggregate a set of resources. A</w:t>
      </w:r>
      <w:r>
        <w:rPr>
          <w:rFonts w:ascii="Times New Roman" w:eastAsia="ヒラギノ角ゴ Pro W3" w:hAnsi="Times New Roman"/>
          <w:sz w:val="24"/>
        </w:rPr>
        <w:t xml:space="preserve"> good example of harnessing the distributed collective intelligence of the network is the work being done as part of the </w:t>
      </w:r>
      <w:proofErr w:type="spellStart"/>
      <w:r>
        <w:rPr>
          <w:rFonts w:ascii="Times New Roman" w:eastAsia="ヒラギノ角ゴ Pro W3" w:hAnsi="Times New Roman"/>
          <w:sz w:val="24"/>
        </w:rPr>
        <w:t>iSpot</w:t>
      </w:r>
      <w:proofErr w:type="spellEnd"/>
      <w:r>
        <w:rPr>
          <w:rFonts w:ascii="Times New Roman" w:eastAsia="ヒラギノ角ゴ Pro W3" w:hAnsi="Times New Roman"/>
          <w:sz w:val="24"/>
        </w:rPr>
        <w:t xml:space="preserve"> project,</w:t>
      </w:r>
      <w:r>
        <w:rPr>
          <w:rFonts w:ascii="Times New Roman" w:eastAsia="ヒラギノ角ゴ Pro W3" w:hAnsi="Times New Roman"/>
          <w:sz w:val="24"/>
          <w:vertAlign w:val="superscript"/>
        </w:rPr>
        <w:footnoteReference w:id="19"/>
      </w:r>
      <w:r>
        <w:rPr>
          <w:rFonts w:ascii="Times New Roman" w:eastAsia="ヒラギノ角ゴ Pro W3" w:hAnsi="Times New Roman"/>
          <w:sz w:val="24"/>
        </w:rPr>
        <w:t xml:space="preserve"> on promoting scientific awareness. It is an online site where users can share and discuss sightings of fauna and flora around the UK. </w:t>
      </w:r>
    </w:p>
    <w:p w:rsidR="00BD080C" w:rsidRDefault="00BD080C" w:rsidP="00BD080C">
      <w:pPr>
        <w:pStyle w:val="NormalWeb"/>
        <w:spacing w:before="2" w:after="2"/>
        <w:rPr>
          <w:rFonts w:ascii="Times New Roman" w:eastAsia="ヒラギノ角ゴ Pro W3" w:hAnsi="Times New Roman"/>
          <w:sz w:val="24"/>
        </w:rPr>
      </w:pPr>
    </w:p>
    <w:p w:rsidR="00BD080C" w:rsidRDefault="00BD080C" w:rsidP="00BD080C">
      <w:pPr>
        <w:pStyle w:val="NormalWeb"/>
        <w:spacing w:before="2" w:after="2"/>
        <w:rPr>
          <w:rFonts w:ascii="Times New Roman" w:eastAsia="ヒラギノ角ゴ Pro W3" w:hAnsi="Times New Roman"/>
          <w:sz w:val="24"/>
        </w:rPr>
      </w:pPr>
      <w:r>
        <w:rPr>
          <w:rFonts w:ascii="Times New Roman" w:eastAsia="ヒラギノ角ゴ Pro W3" w:hAnsi="Times New Roman"/>
          <w:sz w:val="24"/>
        </w:rPr>
        <w:t xml:space="preserve">The site is an excellent example of collective intelligence </w:t>
      </w:r>
      <w:r>
        <w:rPr>
          <w:rFonts w:ascii="Times New Roman" w:eastAsia="ヒラギノ角ゴ Pro W3" w:hAnsi="Times New Roman"/>
          <w:sz w:val="24"/>
        </w:rPr>
        <w:fldChar w:fldCharType="begin"/>
      </w:r>
      <w:r>
        <w:rPr>
          <w:rFonts w:ascii="Times New Roman" w:eastAsia="ヒラギノ角ゴ Pro W3" w:hAnsi="Times New Roman"/>
          <w:sz w:val="24"/>
        </w:rPr>
        <w:instrText xml:space="preserve"> ADDIN EN.CITE &lt;EndNote&gt;&lt;Cite&gt;&lt;Author&gt;Lévy&lt;/Author&gt;&lt;Year&gt;1997&lt;/Year&gt;&lt;RecNum&gt;52&lt;/RecNum&gt;&lt;DisplayText&gt;(Lévy 1997)&lt;/DisplayText&gt;&lt;record&gt;&lt;rec-number&gt;52&lt;/rec-number&gt;&lt;foreign-keys&gt;&lt;key app="EN" db-id="2errrtwrme9dt5e5fpyv5pta2fzsx5vrd0zz"&gt;52&lt;/key&gt;&lt;/foreign-keys&gt;&lt;ref-type name="Book"&gt;6&lt;/ref-type&gt;&lt;contributors&gt;&lt;authors&gt;&lt;author&gt;Lévy, P.&lt;/author&gt;&lt;/authors&gt;&lt;/contributors&gt;&lt;titles&gt;&lt;title&gt;Collective intelligence: Mankind&amp;apos;s emerging world in cyberspace&lt;/title&gt;&lt;/titles&gt;&lt;dates&gt;&lt;year&gt;1997&lt;/year&gt;&lt;/dates&gt;&lt;publisher&gt;Perseus Books Cambridge, MA, USA&lt;/publisher&gt;&lt;urls&gt;&lt;/urls&gt;&lt;/record&gt;&lt;/Cite&gt;&lt;/EndNote&gt;</w:instrText>
      </w:r>
      <w:r>
        <w:rPr>
          <w:rFonts w:ascii="Times New Roman" w:eastAsia="ヒラギノ角ゴ Pro W3" w:hAnsi="Times New Roman"/>
          <w:sz w:val="24"/>
        </w:rPr>
        <w:fldChar w:fldCharType="separate"/>
      </w:r>
      <w:r>
        <w:rPr>
          <w:rFonts w:ascii="Times New Roman" w:eastAsia="ヒラギノ角ゴ Pro W3" w:hAnsi="Times New Roman"/>
          <w:noProof/>
          <w:sz w:val="24"/>
        </w:rPr>
        <w:t>(</w:t>
      </w:r>
      <w:hyperlink w:anchor="_ENREF_25" w:tooltip="Lévy, 1997 #52" w:history="1">
        <w:r w:rsidR="009C7F84">
          <w:rPr>
            <w:rFonts w:ascii="Times New Roman" w:eastAsia="ヒラギノ角ゴ Pro W3" w:hAnsi="Times New Roman"/>
            <w:noProof/>
            <w:sz w:val="24"/>
          </w:rPr>
          <w:t>Lévy 1997</w:t>
        </w:r>
      </w:hyperlink>
      <w:r>
        <w:rPr>
          <w:rFonts w:ascii="Times New Roman" w:eastAsia="ヒラギノ角ゴ Pro W3" w:hAnsi="Times New Roman"/>
          <w:noProof/>
          <w:sz w:val="24"/>
        </w:rPr>
        <w:t>)</w:t>
      </w:r>
      <w:r>
        <w:rPr>
          <w:rFonts w:ascii="Times New Roman" w:eastAsia="ヒラギノ角ゴ Pro W3" w:hAnsi="Times New Roman"/>
          <w:sz w:val="24"/>
        </w:rPr>
        <w:fldChar w:fldCharType="end"/>
      </w:r>
      <w:r>
        <w:rPr>
          <w:rFonts w:ascii="Times New Roman" w:eastAsia="ヒラギノ角ゴ Pro W3" w:hAnsi="Times New Roman"/>
          <w:sz w:val="24"/>
        </w:rPr>
        <w:t xml:space="preserve"> and harnessing the power of the masses, as it enables the capture of sightings of flora and fauna from around the country on changes in patterns of nature that can then feed into </w:t>
      </w:r>
      <w:proofErr w:type="spellStart"/>
      <w:r>
        <w:rPr>
          <w:rFonts w:ascii="Times New Roman" w:eastAsia="ヒラギノ角ゴ Pro W3" w:hAnsi="Times New Roman"/>
          <w:sz w:val="24"/>
        </w:rPr>
        <w:t>ongoing</w:t>
      </w:r>
      <w:proofErr w:type="spellEnd"/>
      <w:r>
        <w:rPr>
          <w:rFonts w:ascii="Times New Roman" w:eastAsia="ヒラギノ角ゴ Pro W3" w:hAnsi="Times New Roman"/>
          <w:sz w:val="24"/>
        </w:rPr>
        <w:t xml:space="preserve"> research activities. Once registered, a user can add an observation to the Web</w:t>
      </w:r>
      <w:r w:rsidR="009C7F84">
        <w:rPr>
          <w:rFonts w:ascii="Times New Roman" w:eastAsia="ヒラギノ角ゴ Pro W3" w:hAnsi="Times New Roman"/>
          <w:sz w:val="24"/>
        </w:rPr>
        <w:t xml:space="preserve">site, suggest </w:t>
      </w:r>
      <w:proofErr w:type="gramStart"/>
      <w:r w:rsidR="009C7F84">
        <w:rPr>
          <w:rFonts w:ascii="Times New Roman" w:eastAsia="ヒラギノ角ゴ Pro W3" w:hAnsi="Times New Roman"/>
          <w:sz w:val="24"/>
        </w:rPr>
        <w:t>an identification</w:t>
      </w:r>
      <w:proofErr w:type="gramEnd"/>
      <w:r>
        <w:rPr>
          <w:rFonts w:ascii="Times New Roman" w:eastAsia="ヒラギノ角ゴ Pro W3" w:hAnsi="Times New Roman"/>
          <w:sz w:val="24"/>
        </w:rPr>
        <w:t xml:space="preserve"> or see if anyone else can identify the species. Users can also contribute to existing observations and there is a forum to stimulate debate. Despite the overall look and feel of the site being focussed on ‘fun’, it feeds directly into real research activities and also enables users to transfer their informal learning/interests into more formal educational offerings if they wish. Evaluation of the use of the site indicates that it is increasing general interest in science and is also resulting in users then signing up for more formal courses </w:t>
      </w:r>
      <w:r>
        <w:rPr>
          <w:rFonts w:ascii="Times New Roman" w:eastAsia="ヒラギノ角ゴ Pro W3" w:hAnsi="Times New Roman"/>
          <w:sz w:val="24"/>
        </w:rPr>
        <w:fldChar w:fldCharType="begin"/>
      </w:r>
      <w:r>
        <w:rPr>
          <w:rFonts w:ascii="Times New Roman" w:eastAsia="ヒラギノ角ゴ Pro W3" w:hAnsi="Times New Roman"/>
          <w:sz w:val="24"/>
        </w:rPr>
        <w:instrText xml:space="preserve"> ADDIN EN.CITE &lt;EndNote&gt;&lt;Cite&gt;&lt;Author&gt;Clow&lt;/Author&gt;&lt;Year&gt;2011&lt;/Year&gt;&lt;RecNum&gt;609&lt;/RecNum&gt;&lt;DisplayText&gt;(Clow and Makriyannis 2011)&lt;/DisplayText&gt;&lt;record&gt;&lt;rec-number&gt;609&lt;/rec-number&gt;&lt;foreign-keys&gt;&lt;key app="EN" db-id="2errrtwrme9dt5e5fpyv5pta2fzsx5vrd0zz"&gt;609&lt;/key&gt;&lt;/foreign-keys&gt;&lt;ref-type name="Conference Proceedings"&gt;10&lt;/ref-type&gt;&lt;contributors&gt;&lt;authors&gt;&lt;author&gt;Clow, D.&lt;/author&gt;&lt;author&gt;Makriyannis, E.&lt;/author&gt;&lt;/authors&gt;&lt;/contributors&gt;&lt;titles&gt;&lt;title&gt;iSpot analysed: participatoiry learning and reputation&lt;/title&gt;&lt;secondary-title&gt;1st learning analytics and knowledge conference&lt;/secondary-title&gt;&lt;/titles&gt;&lt;dates&gt;&lt;year&gt;2011&lt;/year&gt;&lt;/dates&gt;&lt;pub-location&gt;Banff, Canada&lt;/pub-location&gt;&lt;urls&gt;&lt;/urls&gt;&lt;/record&gt;&lt;/Cite&gt;&lt;/EndNote&gt;</w:instrText>
      </w:r>
      <w:r>
        <w:rPr>
          <w:rFonts w:ascii="Times New Roman" w:eastAsia="ヒラギノ角ゴ Pro W3" w:hAnsi="Times New Roman"/>
          <w:sz w:val="24"/>
        </w:rPr>
        <w:fldChar w:fldCharType="separate"/>
      </w:r>
      <w:r>
        <w:rPr>
          <w:rFonts w:ascii="Times New Roman" w:eastAsia="ヒラギノ角ゴ Pro W3" w:hAnsi="Times New Roman"/>
          <w:noProof/>
          <w:sz w:val="24"/>
        </w:rPr>
        <w:t>(</w:t>
      </w:r>
      <w:hyperlink w:anchor="_ENREF_9" w:tooltip="Clow, 2011 #609" w:history="1">
        <w:r w:rsidR="009C7F84">
          <w:rPr>
            <w:rFonts w:ascii="Times New Roman" w:eastAsia="ヒラギノ角ゴ Pro W3" w:hAnsi="Times New Roman"/>
            <w:noProof/>
            <w:sz w:val="24"/>
          </w:rPr>
          <w:t>Clow and Makriyannis 2011</w:t>
        </w:r>
      </w:hyperlink>
      <w:r>
        <w:rPr>
          <w:rFonts w:ascii="Times New Roman" w:eastAsia="ヒラギノ角ゴ Pro W3" w:hAnsi="Times New Roman"/>
          <w:noProof/>
          <w:sz w:val="24"/>
        </w:rPr>
        <w:t>)</w:t>
      </w:r>
      <w:r>
        <w:rPr>
          <w:rFonts w:ascii="Times New Roman" w:eastAsia="ヒラギノ角ゴ Pro W3" w:hAnsi="Times New Roman"/>
          <w:sz w:val="24"/>
        </w:rPr>
        <w:fldChar w:fldCharType="end"/>
      </w:r>
      <w:r>
        <w:rPr>
          <w:rFonts w:ascii="Times New Roman" w:eastAsia="ヒラギノ角ゴ Pro W3" w:hAnsi="Times New Roman"/>
          <w:sz w:val="24"/>
        </w:rPr>
        <w:t>. The data collected on the site is being used by scientists and is providing them with a rich understanding of the changing ecology across the UK. Galaxy Zoo</w:t>
      </w:r>
      <w:r>
        <w:rPr>
          <w:rFonts w:ascii="Times New Roman" w:eastAsia="ヒラギノ角ゴ Pro W3" w:hAnsi="Times New Roman"/>
          <w:sz w:val="24"/>
          <w:vertAlign w:val="superscript"/>
        </w:rPr>
        <w:footnoteReference w:id="20"/>
      </w:r>
      <w:r>
        <w:rPr>
          <w:rFonts w:ascii="Times New Roman" w:eastAsia="ヒラギノ角ゴ Pro W3" w:hAnsi="Times New Roman"/>
          <w:sz w:val="24"/>
        </w:rPr>
        <w:t xml:space="preserve"> is a similar initiative. The general public are invited to help astronomy researchers to categorise and chart the galaxy, using thousands of images derived from the Hubble Space Telescope Archive. </w:t>
      </w:r>
    </w:p>
    <w:p w:rsidR="00BD080C" w:rsidRDefault="00BD080C" w:rsidP="00BD080C">
      <w:pPr>
        <w:pStyle w:val="NormalWeb"/>
        <w:spacing w:before="2" w:after="2"/>
        <w:rPr>
          <w:rFonts w:ascii="Times New Roman" w:eastAsia="ヒラギノ角ゴ Pro W3" w:hAnsi="Times New Roman"/>
          <w:sz w:val="24"/>
        </w:rPr>
      </w:pPr>
    </w:p>
    <w:p w:rsidR="00BD080C" w:rsidRDefault="00BD080C" w:rsidP="00BD080C">
      <w:pPr>
        <w:pStyle w:val="NormalWeb"/>
        <w:spacing w:before="2" w:after="2"/>
        <w:rPr>
          <w:rFonts w:ascii="Times New Roman" w:eastAsia="ヒラギノ角ゴ Pro W3" w:hAnsi="Times New Roman"/>
          <w:sz w:val="24"/>
        </w:rPr>
      </w:pPr>
      <w:r>
        <w:rPr>
          <w:rFonts w:ascii="Times New Roman" w:eastAsia="ヒラギノ角ゴ Pro W3" w:hAnsi="Times New Roman"/>
          <w:sz w:val="24"/>
        </w:rPr>
        <w:t xml:space="preserve">Performance is about how you present yourself on the web and the ways in which you interact with others. We each need to find our own digital identity and voice. Some choose to adopt a very professional stance, others are </w:t>
      </w:r>
      <w:proofErr w:type="gramStart"/>
      <w:r>
        <w:rPr>
          <w:rFonts w:ascii="Times New Roman" w:eastAsia="ヒラギノ角ゴ Pro W3" w:hAnsi="Times New Roman"/>
          <w:sz w:val="24"/>
        </w:rPr>
        <w:t>more light</w:t>
      </w:r>
      <w:proofErr w:type="gramEnd"/>
      <w:r>
        <w:rPr>
          <w:rFonts w:ascii="Times New Roman" w:eastAsia="ヒラギノ角ゴ Pro W3" w:hAnsi="Times New Roman"/>
          <w:sz w:val="24"/>
        </w:rPr>
        <w:t xml:space="preserve"> hearted. We each need to decide the degree to which we want to adopt open practices; what we share with others and the extent to which we share our experiences and activities. I have a very open approach to the way in which I interact with others online, I share my ideas and thoughts as I go, pass on interesting ideas and references received from other, ask queries of the network, as well as providing useful feedback to others. For researchers social and participatory media offer a rich set of ways in which we can communicate and discuss our research outputs. They extend the reach of the audience; a paper in a closed journal might at best be read by a handful of readers, in contrast a blog post can be virally communicated to thousands in a </w:t>
      </w:r>
      <w:proofErr w:type="spellStart"/>
      <w:r>
        <w:rPr>
          <w:rFonts w:ascii="Times New Roman" w:eastAsia="ヒラギノ角ゴ Pro W3" w:hAnsi="Times New Roman"/>
          <w:sz w:val="24"/>
        </w:rPr>
        <w:t>nano</w:t>
      </w:r>
      <w:proofErr w:type="spellEnd"/>
      <w:r>
        <w:rPr>
          <w:rFonts w:ascii="Times New Roman" w:eastAsia="ヒラギノ角ゴ Pro W3" w:hAnsi="Times New Roman"/>
          <w:sz w:val="24"/>
        </w:rPr>
        <w:t xml:space="preserve"> second. There are now a number of new tools emerging that can provide some indication of an individual’s research impact. For example Google Citation Indicator gives the H factor for an individual, </w:t>
      </w:r>
      <w:r>
        <w:rPr>
          <w:rFonts w:ascii="Times New Roman" w:eastAsia="ヒラギノ角ゴ Pro W3" w:hAnsi="Times New Roman"/>
          <w:sz w:val="24"/>
        </w:rPr>
        <w:lastRenderedPageBreak/>
        <w:t>along with a ranked listing of their most cited papers. It is evident to me that these kinds of tools will be used increasingly within institutions in terms of promotion and at a national level in terms of things like research assessment exercises. Whether you like it or not, your digital footprint is there and is being monitored.</w:t>
      </w:r>
    </w:p>
    <w:p w:rsidR="00BD080C" w:rsidRDefault="00BD080C" w:rsidP="00BD080C">
      <w:pPr>
        <w:pStyle w:val="NormalWeb"/>
        <w:spacing w:before="2" w:after="2"/>
        <w:rPr>
          <w:rFonts w:ascii="Times New Roman" w:eastAsia="ヒラギノ角ゴ Pro W3" w:hAnsi="Times New Roman"/>
          <w:sz w:val="24"/>
        </w:rPr>
      </w:pPr>
    </w:p>
    <w:p w:rsidR="009C7F84" w:rsidRDefault="00BD080C" w:rsidP="00BD080C">
      <w:pPr>
        <w:pStyle w:val="NormalWeb"/>
        <w:spacing w:before="2" w:after="2"/>
        <w:rPr>
          <w:rFonts w:ascii="Times New Roman" w:eastAsia="ヒラギノ角ゴ Pro W3" w:hAnsi="Times New Roman"/>
          <w:sz w:val="24"/>
        </w:rPr>
      </w:pPr>
      <w:r>
        <w:rPr>
          <w:rFonts w:ascii="Times New Roman" w:eastAsia="ヒラギノ角ゴ Pro W3" w:hAnsi="Times New Roman"/>
          <w:sz w:val="24"/>
        </w:rPr>
        <w:t xml:space="preserve">In addition to </w:t>
      </w:r>
      <w:proofErr w:type="spellStart"/>
      <w:r>
        <w:rPr>
          <w:rFonts w:ascii="Times New Roman" w:eastAsia="ヒラギノ角ゴ Pro W3" w:hAnsi="Times New Roman"/>
          <w:sz w:val="24"/>
        </w:rPr>
        <w:t>Jenkin’s</w:t>
      </w:r>
      <w:proofErr w:type="spellEnd"/>
      <w:r>
        <w:rPr>
          <w:rFonts w:ascii="Times New Roman" w:eastAsia="ヒラギノ角ゴ Pro W3" w:hAnsi="Times New Roman"/>
          <w:sz w:val="24"/>
        </w:rPr>
        <w:t xml:space="preserve"> list of digital literacies I would add creativity as an important skills in harnesses the potential of new technologies. Creativity derives from the Latin word, ‘</w:t>
      </w:r>
      <w:proofErr w:type="spellStart"/>
      <w:r>
        <w:rPr>
          <w:rFonts w:ascii="Times New Roman" w:eastAsia="ヒラギノ角ゴ Pro W3" w:hAnsi="Times New Roman"/>
          <w:sz w:val="24"/>
        </w:rPr>
        <w:t>crea</w:t>
      </w:r>
      <w:proofErr w:type="spellEnd"/>
      <w:r>
        <w:rPr>
          <w:rFonts w:ascii="Times New Roman" w:eastAsia="ヒラギノ角ゴ Pro W3" w:hAnsi="Times New Roman"/>
          <w:sz w:val="24"/>
        </w:rPr>
        <w:t xml:space="preserve">’, which means to create or make something. It is about creating something new (either a physical artefact or a concept) that is both novel and valuable. It is about the ability to transcend traditional ideas, rules, partners, and relationships, and create meaningful new ideas, forms, methods and interpretations. I would argue that it is an essential skill to deal with today’s complex, fast and changing society. Technologies over a wealth of ways to foster creativity; they </w:t>
      </w:r>
      <w:r w:rsidRPr="00B532C3">
        <w:rPr>
          <w:rFonts w:ascii="Times New Roman" w:eastAsia="ヒラギノ角ゴ Pro W3" w:hAnsi="Times New Roman"/>
          <w:sz w:val="24"/>
        </w:rPr>
        <w:t>provide a range of ways for us to communicate and collaborate with others. There are four aspects to creativity:</w:t>
      </w:r>
    </w:p>
    <w:p w:rsidR="00BD080C" w:rsidRPr="00B532C3" w:rsidRDefault="00BD080C" w:rsidP="00BD080C">
      <w:pPr>
        <w:pStyle w:val="NormalWeb"/>
        <w:spacing w:before="2" w:after="2"/>
        <w:rPr>
          <w:rFonts w:ascii="Times New Roman" w:eastAsia="ヒラギノ角ゴ Pro W3" w:hAnsi="Times New Roman"/>
          <w:sz w:val="24"/>
        </w:rPr>
      </w:pPr>
    </w:p>
    <w:p w:rsidR="00BD080C" w:rsidRPr="00B532C3" w:rsidRDefault="00BD080C" w:rsidP="00BD080C">
      <w:pPr>
        <w:pStyle w:val="NormalWeb"/>
        <w:numPr>
          <w:ilvl w:val="0"/>
          <w:numId w:val="12"/>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Process: mechanisms needed for creative thinking</w:t>
      </w:r>
    </w:p>
    <w:p w:rsidR="00BD080C" w:rsidRPr="00B532C3" w:rsidRDefault="00BD080C" w:rsidP="00BD080C">
      <w:pPr>
        <w:pStyle w:val="NormalWeb"/>
        <w:numPr>
          <w:ilvl w:val="0"/>
          <w:numId w:val="12"/>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Product: measuring creativity in people</w:t>
      </w:r>
    </w:p>
    <w:p w:rsidR="00BD080C" w:rsidRPr="00B532C3" w:rsidRDefault="00BD080C" w:rsidP="00BD080C">
      <w:pPr>
        <w:pStyle w:val="NormalWeb"/>
        <w:numPr>
          <w:ilvl w:val="0"/>
          <w:numId w:val="12"/>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Person: general intellectual habits (openness, ideas of ideation, autonomy, expertise, exploratory and behavioural)</w:t>
      </w:r>
    </w:p>
    <w:p w:rsidR="00BD080C" w:rsidRDefault="00BD080C" w:rsidP="00BD080C">
      <w:pPr>
        <w:pStyle w:val="NormalWeb"/>
        <w:numPr>
          <w:ilvl w:val="0"/>
          <w:numId w:val="12"/>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 xml:space="preserve">Place: best circumstances to enable creativity to flourish. </w:t>
      </w:r>
    </w:p>
    <w:p w:rsidR="00BD080C" w:rsidRDefault="00BD080C" w:rsidP="00BD080C">
      <w:pPr>
        <w:pStyle w:val="NormalWeb"/>
        <w:spacing w:before="2" w:after="2"/>
        <w:ind w:left="-11"/>
        <w:rPr>
          <w:rFonts w:ascii="Times New Roman" w:eastAsia="ヒラギノ角ゴ Pro W3" w:hAnsi="Times New Roman"/>
          <w:sz w:val="24"/>
        </w:rPr>
      </w:pPr>
    </w:p>
    <w:p w:rsidR="009C7F84" w:rsidRDefault="00BD080C" w:rsidP="00BD080C">
      <w:pPr>
        <w:pStyle w:val="NormalWeb"/>
        <w:spacing w:before="2" w:after="2"/>
        <w:ind w:left="-11"/>
        <w:rPr>
          <w:rFonts w:ascii="Times New Roman" w:eastAsia="ヒラギノ角ゴ Pro W3" w:hAnsi="Times New Roman"/>
          <w:sz w:val="24"/>
        </w:rPr>
      </w:pPr>
      <w:r w:rsidRPr="00B532C3">
        <w:rPr>
          <w:rFonts w:ascii="Times New Roman" w:eastAsia="ヒラギノ角ゴ Pro W3" w:hAnsi="Times New Roman"/>
          <w:sz w:val="24"/>
        </w:rPr>
        <w:t>There are five stages of creativity:</w:t>
      </w:r>
    </w:p>
    <w:p w:rsidR="00BD080C" w:rsidRPr="00B532C3" w:rsidRDefault="00BD080C" w:rsidP="00BD080C">
      <w:pPr>
        <w:pStyle w:val="NormalWeb"/>
        <w:spacing w:before="2" w:after="2"/>
        <w:ind w:left="-11"/>
        <w:rPr>
          <w:rFonts w:ascii="Times New Roman" w:eastAsia="ヒラギノ角ゴ Pro W3" w:hAnsi="Times New Roman"/>
          <w:sz w:val="24"/>
        </w:rPr>
      </w:pPr>
    </w:p>
    <w:p w:rsidR="00BD080C" w:rsidRPr="00B532C3" w:rsidRDefault="00BD080C" w:rsidP="00BD080C">
      <w:pPr>
        <w:pStyle w:val="NormalWeb"/>
        <w:numPr>
          <w:ilvl w:val="0"/>
          <w:numId w:val="13"/>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Preparation: identifying the problem</w:t>
      </w:r>
    </w:p>
    <w:p w:rsidR="00BD080C" w:rsidRPr="00B532C3" w:rsidRDefault="00BD080C" w:rsidP="00BD080C">
      <w:pPr>
        <w:pStyle w:val="NormalWeb"/>
        <w:numPr>
          <w:ilvl w:val="0"/>
          <w:numId w:val="13"/>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Incubation: internalisation of the problem</w:t>
      </w:r>
    </w:p>
    <w:p w:rsidR="00BD080C" w:rsidRPr="00B532C3" w:rsidRDefault="00BD080C" w:rsidP="00BD080C">
      <w:pPr>
        <w:pStyle w:val="NormalWeb"/>
        <w:numPr>
          <w:ilvl w:val="0"/>
          <w:numId w:val="13"/>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Intimation: getting a feeling for a solution</w:t>
      </w:r>
    </w:p>
    <w:p w:rsidR="00BD080C" w:rsidRPr="00B532C3" w:rsidRDefault="00BD080C" w:rsidP="00BD080C">
      <w:pPr>
        <w:pStyle w:val="NormalWeb"/>
        <w:numPr>
          <w:ilvl w:val="0"/>
          <w:numId w:val="13"/>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Illumination: creativity burst forth</w:t>
      </w:r>
    </w:p>
    <w:p w:rsidR="00BD080C" w:rsidRDefault="00BD080C" w:rsidP="00BD080C">
      <w:pPr>
        <w:pStyle w:val="NormalWeb"/>
        <w:numPr>
          <w:ilvl w:val="0"/>
          <w:numId w:val="13"/>
        </w:numPr>
        <w:spacing w:before="2" w:after="2"/>
        <w:ind w:left="426" w:hanging="437"/>
        <w:rPr>
          <w:rFonts w:ascii="Times New Roman" w:eastAsia="ヒラギノ角ゴ Pro W3" w:hAnsi="Times New Roman"/>
          <w:sz w:val="24"/>
        </w:rPr>
      </w:pPr>
      <w:r w:rsidRPr="00B532C3">
        <w:rPr>
          <w:rFonts w:ascii="Times New Roman" w:eastAsia="ヒラギノ角ゴ Pro W3" w:hAnsi="Times New Roman"/>
          <w:sz w:val="24"/>
        </w:rPr>
        <w:t>Verification: idea is consciously verified, elaborated and applied</w:t>
      </w:r>
    </w:p>
    <w:p w:rsidR="00BD080C" w:rsidRDefault="00BD080C" w:rsidP="00BD080C">
      <w:pPr>
        <w:pStyle w:val="NormalWeb"/>
        <w:spacing w:before="2" w:after="2"/>
        <w:rPr>
          <w:rFonts w:ascii="Times New Roman" w:eastAsia="ヒラギノ角ゴ Pro W3" w:hAnsi="Times New Roman"/>
          <w:sz w:val="24"/>
        </w:rPr>
      </w:pPr>
    </w:p>
    <w:p w:rsidR="00BD080C" w:rsidRDefault="00BD080C" w:rsidP="00BD080C">
      <w:pPr>
        <w:pStyle w:val="NormalWeb"/>
        <w:spacing w:before="2" w:after="2"/>
        <w:rPr>
          <w:rFonts w:ascii="Times New Roman" w:eastAsia="ヒラギノ角ゴ Pro W3" w:hAnsi="Times New Roman"/>
          <w:sz w:val="24"/>
        </w:rPr>
      </w:pPr>
      <w:r>
        <w:rPr>
          <w:rFonts w:ascii="Times New Roman" w:eastAsia="ヒラギノ角ゴ Pro W3" w:hAnsi="Times New Roman"/>
          <w:sz w:val="24"/>
        </w:rPr>
        <w:t xml:space="preserve">Wall </w:t>
      </w:r>
      <w:r>
        <w:rPr>
          <w:rFonts w:ascii="Times New Roman" w:eastAsia="ヒラギノ角ゴ Pro W3" w:hAnsi="Times New Roman"/>
          <w:sz w:val="24"/>
        </w:rPr>
        <w:fldChar w:fldCharType="begin"/>
      </w:r>
      <w:r>
        <w:rPr>
          <w:rFonts w:ascii="Times New Roman" w:eastAsia="ヒラギノ角ゴ Pro W3" w:hAnsi="Times New Roman"/>
          <w:sz w:val="24"/>
        </w:rPr>
        <w:instrText xml:space="preserve"> ADDIN EN.CITE &lt;EndNote&gt;&lt;Cite ExcludeAuth="1"&gt;&lt;Author&gt;Wall&lt;/Author&gt;&lt;Year&gt;2009&lt;/Year&gt;&lt;RecNum&gt;610&lt;/RecNum&gt;&lt;DisplayText&gt;(2009)&lt;/DisplayText&gt;&lt;record&gt;&lt;rec-number&gt;610&lt;/rec-number&gt;&lt;foreign-keys&gt;&lt;key app="EN" db-id="2errrtwrme9dt5e5fpyv5pta2fzsx5vrd0zz"&gt;610&lt;/key&gt;&lt;/foreign-keys&gt;&lt;ref-type name="Blog"&gt;56&lt;/ref-type&gt;&lt;contributors&gt;&lt;authors&gt;&lt;author&gt;Wall, R.&lt;/author&gt;&lt;/authors&gt;&lt;/contributors&gt;&lt;titles&gt;&lt;title&gt;Creativity is the new technology&lt;/title&gt;&lt;secondary-title&gt;Zen and the art of being rob&lt;/secondary-title&gt;&lt;/titles&gt;&lt;dates&gt;&lt;year&gt;2009&lt;/year&gt;&lt;/dates&gt;&lt;urls&gt;&lt;related-urls&gt;&lt;url&gt;http://robwall.ca/2009/03/10/creativity-is-the-new-technology/&lt;/url&gt;&lt;/related-urls&gt;&lt;/urls&gt;&lt;/record&gt;&lt;/Cite&gt;&lt;/EndNote&gt;</w:instrText>
      </w:r>
      <w:r>
        <w:rPr>
          <w:rFonts w:ascii="Times New Roman" w:eastAsia="ヒラギノ角ゴ Pro W3" w:hAnsi="Times New Roman"/>
          <w:sz w:val="24"/>
        </w:rPr>
        <w:fldChar w:fldCharType="separate"/>
      </w:r>
      <w:r>
        <w:rPr>
          <w:rFonts w:ascii="Times New Roman" w:eastAsia="ヒラギノ角ゴ Pro W3" w:hAnsi="Times New Roman"/>
          <w:noProof/>
          <w:sz w:val="24"/>
        </w:rPr>
        <w:t>(</w:t>
      </w:r>
      <w:hyperlink w:anchor="_ENREF_34" w:tooltip="Wall, 2009 #610" w:history="1">
        <w:r w:rsidR="009C7F84">
          <w:rPr>
            <w:rFonts w:ascii="Times New Roman" w:eastAsia="ヒラギノ角ゴ Pro W3" w:hAnsi="Times New Roman"/>
            <w:noProof/>
            <w:sz w:val="24"/>
          </w:rPr>
          <w:t>2009</w:t>
        </w:r>
      </w:hyperlink>
      <w:r>
        <w:rPr>
          <w:rFonts w:ascii="Times New Roman" w:eastAsia="ヒラギノ角ゴ Pro W3" w:hAnsi="Times New Roman"/>
          <w:noProof/>
          <w:sz w:val="24"/>
        </w:rPr>
        <w:t>)</w:t>
      </w:r>
      <w:r>
        <w:rPr>
          <w:rFonts w:ascii="Times New Roman" w:eastAsia="ヒラギノ角ゴ Pro W3" w:hAnsi="Times New Roman"/>
          <w:sz w:val="24"/>
        </w:rPr>
        <w:fldChar w:fldCharType="end"/>
      </w:r>
      <w:r>
        <w:rPr>
          <w:rFonts w:ascii="Times New Roman" w:eastAsia="ヒラギノ角ゴ Pro W3" w:hAnsi="Times New Roman"/>
          <w:sz w:val="24"/>
        </w:rPr>
        <w:t xml:space="preserve"> argues that creativity is the new technology:</w:t>
      </w:r>
    </w:p>
    <w:p w:rsidR="00BD080C" w:rsidRDefault="00BD080C" w:rsidP="00BD080C">
      <w:pPr>
        <w:ind w:left="720"/>
        <w:rPr>
          <w:rFonts w:ascii="Georgia" w:hAnsi="Georgia"/>
          <w:color w:val="000000"/>
          <w:sz w:val="22"/>
        </w:rPr>
      </w:pPr>
      <w:r w:rsidRPr="00473C8B">
        <w:rPr>
          <w:rFonts w:ascii="Georgia" w:hAnsi="Georgia"/>
          <w:color w:val="000000"/>
          <w:sz w:val="22"/>
          <w:szCs w:val="23"/>
          <w:shd w:val="clear" w:color="auto" w:fill="FDFDFD"/>
        </w:rPr>
        <w:t>I think that the 21st century will be a century of creativity in the same way that the 20th was of technology. Much of the creativity, interestingly enough, will be based on the tools provided by technology, especially tools that allow us to create, collaborate and communicate.</w:t>
      </w:r>
      <w:r w:rsidRPr="00473C8B">
        <w:rPr>
          <w:rFonts w:ascii="Georgia" w:hAnsi="Georgia"/>
          <w:color w:val="000000"/>
          <w:sz w:val="22"/>
        </w:rPr>
        <w:t> </w:t>
      </w:r>
    </w:p>
    <w:p w:rsidR="00BD080C" w:rsidRDefault="00BD080C" w:rsidP="00BD080C">
      <w:pPr>
        <w:rPr>
          <w:rFonts w:ascii="Georgia" w:hAnsi="Georgia"/>
          <w:color w:val="000000"/>
          <w:sz w:val="22"/>
        </w:rPr>
      </w:pPr>
    </w:p>
    <w:p w:rsidR="00BD080C" w:rsidRPr="005A57CF" w:rsidRDefault="00BD080C" w:rsidP="00BD080C">
      <w:pPr>
        <w:rPr>
          <w:rFonts w:ascii="Georgia" w:hAnsi="Georgia"/>
          <w:color w:val="000000"/>
        </w:rPr>
      </w:pPr>
      <w:r>
        <w:rPr>
          <w:rFonts w:ascii="Georgia" w:hAnsi="Georgia"/>
          <w:color w:val="000000"/>
          <w:sz w:val="22"/>
        </w:rPr>
        <w:t xml:space="preserve">Along with the eleven digital literacies identified by Jenkins et al., creativity enables learners to connect and co-constructive meaning in rich authentic environments. </w:t>
      </w:r>
      <w:proofErr w:type="spellStart"/>
      <w:proofErr w:type="gramStart"/>
      <w:r w:rsidRPr="00473C8B">
        <w:rPr>
          <w:szCs w:val="16"/>
        </w:rPr>
        <w:t>iCreaNet</w:t>
      </w:r>
      <w:proofErr w:type="spellEnd"/>
      <w:proofErr w:type="gramEnd"/>
      <w:r w:rsidRPr="00473C8B">
        <w:rPr>
          <w:szCs w:val="16"/>
        </w:rPr>
        <w:t xml:space="preserve"> (</w:t>
      </w:r>
      <w:hyperlink r:id="rId15" w:history="1">
        <w:r w:rsidRPr="00473C8B">
          <w:rPr>
            <w:color w:val="000099"/>
            <w:szCs w:val="16"/>
            <w:u w:val="single"/>
          </w:rPr>
          <w:t>http</w:t>
        </w:r>
      </w:hyperlink>
      <w:hyperlink r:id="rId16" w:history="1">
        <w:r w:rsidRPr="00473C8B">
          <w:rPr>
            <w:color w:val="000099"/>
            <w:szCs w:val="16"/>
            <w:u w:val="single"/>
          </w:rPr>
          <w:t>://</w:t>
        </w:r>
      </w:hyperlink>
      <w:hyperlink r:id="rId17" w:history="1">
        <w:r w:rsidRPr="00473C8B">
          <w:rPr>
            <w:color w:val="000099"/>
            <w:szCs w:val="16"/>
            <w:u w:val="single"/>
          </w:rPr>
          <w:t>www</w:t>
        </w:r>
      </w:hyperlink>
      <w:hyperlink r:id="rId18" w:history="1">
        <w:r w:rsidRPr="00473C8B">
          <w:rPr>
            <w:color w:val="000099"/>
            <w:szCs w:val="16"/>
            <w:u w:val="single"/>
          </w:rPr>
          <w:t>.</w:t>
        </w:r>
      </w:hyperlink>
      <w:hyperlink r:id="rId19" w:history="1">
        <w:proofErr w:type="gramStart"/>
        <w:r w:rsidRPr="00473C8B">
          <w:rPr>
            <w:color w:val="000099"/>
            <w:szCs w:val="16"/>
            <w:u w:val="single"/>
          </w:rPr>
          <w:t>imv</w:t>
        </w:r>
        <w:proofErr w:type="gramEnd"/>
      </w:hyperlink>
      <w:hyperlink r:id="rId20" w:history="1">
        <w:r w:rsidRPr="00473C8B">
          <w:rPr>
            <w:color w:val="000099"/>
            <w:szCs w:val="16"/>
            <w:u w:val="single"/>
          </w:rPr>
          <w:t>.</w:t>
        </w:r>
      </w:hyperlink>
      <w:hyperlink r:id="rId21" w:history="1">
        <w:proofErr w:type="gramStart"/>
        <w:r w:rsidRPr="00473C8B">
          <w:rPr>
            <w:color w:val="000099"/>
            <w:szCs w:val="16"/>
            <w:u w:val="single"/>
          </w:rPr>
          <w:t>au</w:t>
        </w:r>
        <w:proofErr w:type="gramEnd"/>
      </w:hyperlink>
      <w:hyperlink r:id="rId22" w:history="1">
        <w:r w:rsidRPr="00473C8B">
          <w:rPr>
            <w:color w:val="000099"/>
            <w:szCs w:val="16"/>
            <w:u w:val="single"/>
          </w:rPr>
          <w:t>.</w:t>
        </w:r>
      </w:hyperlink>
      <w:hyperlink r:id="rId23" w:history="1">
        <w:proofErr w:type="gramStart"/>
        <w:r w:rsidRPr="00473C8B">
          <w:rPr>
            <w:color w:val="000099"/>
            <w:szCs w:val="16"/>
            <w:u w:val="single"/>
          </w:rPr>
          <w:t>dk</w:t>
        </w:r>
      </w:hyperlink>
      <w:hyperlink r:id="rId24" w:history="1">
        <w:r w:rsidRPr="00473C8B">
          <w:rPr>
            <w:color w:val="000099"/>
            <w:szCs w:val="16"/>
            <w:u w:val="single"/>
          </w:rPr>
          <w:t>/</w:t>
        </w:r>
      </w:hyperlink>
      <w:hyperlink r:id="rId25" w:history="1">
        <w:r w:rsidRPr="00473C8B">
          <w:rPr>
            <w:color w:val="000099"/>
            <w:szCs w:val="16"/>
            <w:u w:val="single"/>
          </w:rPr>
          <w:t>icreanet</w:t>
        </w:r>
        <w:proofErr w:type="gramEnd"/>
      </w:hyperlink>
      <w:hyperlink r:id="rId26" w:history="1">
        <w:r w:rsidRPr="00473C8B">
          <w:rPr>
            <w:color w:val="000099"/>
            <w:szCs w:val="16"/>
            <w:u w:val="single"/>
          </w:rPr>
          <w:t>/</w:t>
        </w:r>
      </w:hyperlink>
      <w:r w:rsidRPr="00473C8B">
        <w:rPr>
          <w:szCs w:val="16"/>
        </w:rPr>
        <w:t xml:space="preserve">) is a global research network of educational researchers focusing on support for development of creative skills </w:t>
      </w:r>
      <w:r>
        <w:rPr>
          <w:szCs w:val="16"/>
        </w:rPr>
        <w:t xml:space="preserve">in higher educational contexts. Fundamental to the work of the group is seeing </w:t>
      </w:r>
      <w:r w:rsidRPr="00473C8B">
        <w:rPr>
          <w:szCs w:val="16"/>
        </w:rPr>
        <w:t xml:space="preserve">ICT resources and environments as crucial means of providing the flexibility and diversity necessary to </w:t>
      </w:r>
      <w:r>
        <w:rPr>
          <w:szCs w:val="16"/>
        </w:rPr>
        <w:t>facilitate creative development</w:t>
      </w:r>
      <w:r w:rsidRPr="00473C8B">
        <w:rPr>
          <w:szCs w:val="16"/>
        </w:rPr>
        <w:t xml:space="preserve"> and to</w:t>
      </w:r>
      <w:r>
        <w:rPr>
          <w:szCs w:val="16"/>
        </w:rPr>
        <w:t xml:space="preserve"> bring </w:t>
      </w:r>
      <w:r w:rsidRPr="00473C8B">
        <w:rPr>
          <w:szCs w:val="16"/>
        </w:rPr>
        <w:t>education up to speed with the way that citizens of the earth learn and enhance themselves in th</w:t>
      </w:r>
      <w:r>
        <w:rPr>
          <w:szCs w:val="16"/>
        </w:rPr>
        <w:t>e contexts of their daily lives</w:t>
      </w:r>
      <w:r w:rsidRPr="00473C8B">
        <w:rPr>
          <w:szCs w:val="16"/>
        </w:rPr>
        <w:t xml:space="preserve"> in the 21st </w:t>
      </w:r>
      <w:r>
        <w:rPr>
          <w:szCs w:val="16"/>
        </w:rPr>
        <w:t>century.</w:t>
      </w:r>
    </w:p>
    <w:p w:rsidR="00BD080C" w:rsidRPr="00B532C3" w:rsidRDefault="00BD080C" w:rsidP="00BD080C">
      <w:pPr>
        <w:pStyle w:val="Heading1"/>
        <w:rPr>
          <w:rFonts w:eastAsia="ヒラギノ角ゴ Pro W3" w:cs="Times New Roman"/>
          <w:szCs w:val="20"/>
        </w:rPr>
      </w:pPr>
      <w:r>
        <w:rPr>
          <w:rFonts w:eastAsia="ヒラギノ角ゴ Pro W3"/>
        </w:rPr>
        <w:t>Conclusion</w:t>
      </w:r>
    </w:p>
    <w:p w:rsidR="00BD080C" w:rsidRPr="00BD080C" w:rsidRDefault="00BD080C" w:rsidP="00BD080C">
      <w:pPr>
        <w:pStyle w:val="NormalWeb"/>
        <w:spacing w:before="2" w:after="2"/>
        <w:rPr>
          <w:rFonts w:ascii="Times New Roman" w:eastAsia="ヒラギノ角ゴ Pro W3" w:hAnsi="Times New Roman"/>
          <w:sz w:val="24"/>
        </w:rPr>
      </w:pPr>
      <w:r>
        <w:rPr>
          <w:rFonts w:ascii="Times New Roman" w:eastAsia="ヒラギノ角ゴ Pro W3" w:hAnsi="Times New Roman"/>
          <w:sz w:val="24"/>
        </w:rPr>
        <w:t xml:space="preserve">This post has explored the types of digital literacies that are needed by learners, teachers and researchers to exploit the potential of new technologies and to enable </w:t>
      </w:r>
      <w:r>
        <w:rPr>
          <w:rFonts w:ascii="Times New Roman" w:eastAsia="ヒラギノ角ゴ Pro W3" w:hAnsi="Times New Roman"/>
          <w:sz w:val="24"/>
        </w:rPr>
        <w:lastRenderedPageBreak/>
        <w:t xml:space="preserve">them to connect and communicate in a plethora of ways. The digital literacies needed are far more participatory and interactive, the distributed network of others that we connect with is as important as the way in which we access and use information on the Internet. We each need to identify our own digital voice and identity, how we want to be perceived and how we want to interact with others. Used effectively social and participatory media offer a powerful means of us communicating and developing our ideas. </w:t>
      </w:r>
    </w:p>
    <w:p w:rsidR="0004563D" w:rsidRDefault="0004563D" w:rsidP="0004563D">
      <w:pPr>
        <w:pStyle w:val="Heading1"/>
      </w:pPr>
      <w:r>
        <w:t>Conclusion</w:t>
      </w:r>
    </w:p>
    <w:p w:rsidR="00A72EE2" w:rsidRPr="0004563D" w:rsidRDefault="0004563D" w:rsidP="0004563D">
      <w:r>
        <w:t>This chapter has considered how new social and participatory media are resulting in changes in practice in learning, teaching and research. In particular it has critiqued the notion of openness and open practices and considered this concept against different aspects of learning, teaching and research. These new media are challenging existing educational practices and structures. New business models are emerging as a result. In particular in a world where content and expertise is increasingly free and easily accessible, what is the role of traditional educational institutions?</w:t>
      </w:r>
    </w:p>
    <w:p w:rsidR="00A72EE2" w:rsidRDefault="00A72EE2" w:rsidP="00A72EE2">
      <w:pPr>
        <w:pStyle w:val="Heading1"/>
      </w:pPr>
      <w:r>
        <w:t>Acknowledgements</w:t>
      </w:r>
    </w:p>
    <w:p w:rsidR="004B4816" w:rsidRPr="00A72EE2" w:rsidRDefault="00A72EE2" w:rsidP="00A72EE2">
      <w:r>
        <w:t xml:space="preserve">My thanks to members of the OU and Leicester who were involved in creating the learning design resources described in this chapter. In particular I would like to thank Rebecca Galley and Juliette Culver from the OU and Gabi Witthaus, Ming </w:t>
      </w:r>
      <w:proofErr w:type="spellStart"/>
      <w:r>
        <w:t>Niew</w:t>
      </w:r>
      <w:proofErr w:type="spellEnd"/>
      <w:r>
        <w:t xml:space="preserve"> and Alejandro </w:t>
      </w:r>
      <w:proofErr w:type="spellStart"/>
      <w:r>
        <w:t>Armellini</w:t>
      </w:r>
      <w:proofErr w:type="spellEnd"/>
      <w:r>
        <w:t xml:space="preserve"> from Leicester. Funding is gratefully </w:t>
      </w:r>
      <w:proofErr w:type="gramStart"/>
      <w:r>
        <w:t>acknowledge</w:t>
      </w:r>
      <w:proofErr w:type="gramEnd"/>
      <w:r>
        <w:t xml:space="preserve"> from the JISC and the EU. </w:t>
      </w:r>
    </w:p>
    <w:p w:rsidR="004B4816" w:rsidRDefault="004B4816" w:rsidP="004B4816">
      <w:pPr>
        <w:pStyle w:val="Heading1"/>
      </w:pPr>
      <w:r>
        <w:t>References</w:t>
      </w:r>
    </w:p>
    <w:p w:rsidR="009C7F84" w:rsidRPr="009C7F84" w:rsidRDefault="004B4816" w:rsidP="009C7F84">
      <w:pPr>
        <w:ind w:left="720" w:hanging="720"/>
        <w:rPr>
          <w:rFonts w:ascii="Cambria" w:hAnsi="Cambria"/>
          <w:noProof/>
        </w:rPr>
      </w:pPr>
      <w:r>
        <w:fldChar w:fldCharType="begin"/>
      </w:r>
      <w:r>
        <w:instrText xml:space="preserve"> ADDIN EN.REFLIST </w:instrText>
      </w:r>
      <w:r>
        <w:fldChar w:fldCharType="separate"/>
      </w:r>
      <w:bookmarkStart w:id="1" w:name="_ENREF_1"/>
      <w:r w:rsidR="009C7F84" w:rsidRPr="009C7F84">
        <w:rPr>
          <w:rFonts w:ascii="Cambria" w:hAnsi="Cambria"/>
          <w:noProof/>
        </w:rPr>
        <w:t xml:space="preserve">Ala-Mutka, K. (2012). Mapping digital competence: towards a conceptual understanding. </w:t>
      </w:r>
      <w:r w:rsidR="009C7F84" w:rsidRPr="009C7F84">
        <w:rPr>
          <w:rFonts w:ascii="Cambria" w:hAnsi="Cambria"/>
          <w:noProof/>
          <w:u w:val="single"/>
        </w:rPr>
        <w:t>IPTS report</w:t>
      </w:r>
      <w:r w:rsidR="009C7F84" w:rsidRPr="009C7F84">
        <w:rPr>
          <w:rFonts w:ascii="Cambria" w:hAnsi="Cambria"/>
          <w:noProof/>
        </w:rPr>
        <w:t>. Saville.</w:t>
      </w:r>
      <w:bookmarkEnd w:id="1"/>
    </w:p>
    <w:p w:rsidR="009C7F84" w:rsidRPr="009C7F84" w:rsidRDefault="009C7F84" w:rsidP="009C7F84">
      <w:pPr>
        <w:ind w:left="720" w:hanging="720"/>
        <w:rPr>
          <w:rFonts w:ascii="Cambria" w:hAnsi="Cambria"/>
          <w:noProof/>
        </w:rPr>
      </w:pPr>
      <w:bookmarkStart w:id="2" w:name="_ENREF_2"/>
      <w:r w:rsidRPr="009C7F84">
        <w:rPr>
          <w:rFonts w:ascii="Cambria" w:hAnsi="Cambria"/>
          <w:noProof/>
        </w:rPr>
        <w:t xml:space="preserve">Anderson, T. (2009). </w:t>
      </w:r>
      <w:r w:rsidRPr="009C7F84">
        <w:rPr>
          <w:rFonts w:ascii="Cambria" w:hAnsi="Cambria"/>
          <w:noProof/>
          <w:u w:val="single"/>
        </w:rPr>
        <w:t>Keynote presentation</w:t>
      </w:r>
      <w:r w:rsidRPr="009C7F84">
        <w:rPr>
          <w:rFonts w:ascii="Cambria" w:hAnsi="Cambria"/>
          <w:noProof/>
        </w:rPr>
        <w:t>. ALT-C, Manchester.</w:t>
      </w:r>
      <w:bookmarkEnd w:id="2"/>
    </w:p>
    <w:p w:rsidR="009C7F84" w:rsidRPr="009C7F84" w:rsidRDefault="009C7F84" w:rsidP="009C7F84">
      <w:pPr>
        <w:ind w:left="720" w:hanging="720"/>
        <w:rPr>
          <w:rFonts w:ascii="Cambria" w:hAnsi="Cambria"/>
          <w:noProof/>
        </w:rPr>
      </w:pPr>
      <w:bookmarkStart w:id="3" w:name="_ENREF_3"/>
      <w:r w:rsidRPr="009C7F84">
        <w:rPr>
          <w:rFonts w:ascii="Cambria" w:hAnsi="Cambria"/>
          <w:noProof/>
        </w:rPr>
        <w:t xml:space="preserve">Armellini, A. (2012). "Carpe Diem: the 7Cs of design and delivery." </w:t>
      </w:r>
      <w:r w:rsidRPr="009C7F84">
        <w:rPr>
          <w:rFonts w:ascii="Cambria" w:hAnsi="Cambria"/>
          <w:noProof/>
          <w:u w:val="single"/>
        </w:rPr>
        <w:t>Beyond Distance Research Alliance blog</w:t>
      </w:r>
      <w:r w:rsidRPr="009C7F84">
        <w:rPr>
          <w:rFonts w:ascii="Cambria" w:hAnsi="Cambria"/>
          <w:noProof/>
        </w:rPr>
        <w:t xml:space="preserve"> </w:t>
      </w:r>
      <w:hyperlink r:id="rId27" w:history="1">
        <w:r w:rsidRPr="009C7F84">
          <w:rPr>
            <w:rStyle w:val="Hyperlink"/>
            <w:rFonts w:ascii="Cambria" w:hAnsi="Cambria"/>
            <w:noProof/>
          </w:rPr>
          <w:t>http://beyonddistance.wordpress.com/2012/02/07/carpe-diem-the-7cs-of-design-and-delivery/</w:t>
        </w:r>
      </w:hyperlink>
      <w:r w:rsidRPr="009C7F84">
        <w:rPr>
          <w:rFonts w:ascii="Cambria" w:hAnsi="Cambria"/>
          <w:noProof/>
        </w:rPr>
        <w:t>.</w:t>
      </w:r>
      <w:bookmarkEnd w:id="3"/>
    </w:p>
    <w:p w:rsidR="009C7F84" w:rsidRPr="009C7F84" w:rsidRDefault="009C7F84" w:rsidP="009C7F84">
      <w:pPr>
        <w:ind w:left="720" w:hanging="720"/>
        <w:rPr>
          <w:rFonts w:ascii="Cambria" w:hAnsi="Cambria"/>
          <w:noProof/>
        </w:rPr>
      </w:pPr>
      <w:bookmarkStart w:id="4" w:name="_ENREF_4"/>
      <w:r w:rsidRPr="009C7F84">
        <w:rPr>
          <w:rFonts w:ascii="Cambria" w:hAnsi="Cambria"/>
          <w:noProof/>
        </w:rPr>
        <w:t xml:space="preserve">Borgeman, C. (2007). The continuity of scholarly communication. </w:t>
      </w:r>
      <w:r w:rsidRPr="009C7F84">
        <w:rPr>
          <w:rFonts w:ascii="Cambria" w:hAnsi="Cambria"/>
          <w:noProof/>
          <w:u w:val="single"/>
        </w:rPr>
        <w:t>Scholarship in the digital age: information, infrastructure and the Internet</w:t>
      </w:r>
      <w:r w:rsidRPr="009C7F84">
        <w:rPr>
          <w:rFonts w:ascii="Cambria" w:hAnsi="Cambria"/>
          <w:noProof/>
        </w:rPr>
        <w:t>. Hong Kong, SNP Best-set Typersetter Ltd.</w:t>
      </w:r>
      <w:bookmarkEnd w:id="4"/>
    </w:p>
    <w:p w:rsidR="009C7F84" w:rsidRPr="009C7F84" w:rsidRDefault="009C7F84" w:rsidP="009C7F84">
      <w:pPr>
        <w:ind w:left="720" w:hanging="720"/>
        <w:rPr>
          <w:rFonts w:ascii="Cambria" w:hAnsi="Cambria"/>
          <w:noProof/>
        </w:rPr>
      </w:pPr>
      <w:bookmarkStart w:id="5" w:name="_ENREF_5"/>
      <w:r w:rsidRPr="009C7F84">
        <w:rPr>
          <w:rFonts w:ascii="Cambria" w:hAnsi="Cambria"/>
          <w:noProof/>
        </w:rPr>
        <w:t xml:space="preserve">Borgeman, C. (2007). </w:t>
      </w:r>
      <w:r w:rsidRPr="009C7F84">
        <w:rPr>
          <w:rFonts w:ascii="Cambria" w:hAnsi="Cambria"/>
          <w:noProof/>
          <w:u w:val="single"/>
        </w:rPr>
        <w:t>Scholarship in the digital age: information, infrastructure and the internet</w:t>
      </w:r>
      <w:r w:rsidRPr="009C7F84">
        <w:rPr>
          <w:rFonts w:ascii="Cambria" w:hAnsi="Cambria"/>
          <w:noProof/>
        </w:rPr>
        <w:t>. Hong Kong, SNP Best-set Typesetter Ltd.</w:t>
      </w:r>
      <w:bookmarkEnd w:id="5"/>
    </w:p>
    <w:p w:rsidR="009C7F84" w:rsidRPr="009C7F84" w:rsidRDefault="009C7F84" w:rsidP="009C7F84">
      <w:pPr>
        <w:ind w:left="720" w:hanging="720"/>
        <w:rPr>
          <w:rFonts w:ascii="Cambria" w:hAnsi="Cambria"/>
          <w:noProof/>
        </w:rPr>
      </w:pPr>
      <w:bookmarkStart w:id="6" w:name="_ENREF_6"/>
      <w:r w:rsidRPr="009C7F84">
        <w:rPr>
          <w:rFonts w:ascii="Cambria" w:hAnsi="Cambria"/>
          <w:noProof/>
        </w:rPr>
        <w:t>Borgeman, C., H. Abelson, et al. (2008). Fostering learning in the networked world: the cyberlearning opportunity and challenge, Report of the NSF task force on cyberlearning.</w:t>
      </w:r>
      <w:bookmarkEnd w:id="6"/>
    </w:p>
    <w:p w:rsidR="009C7F84" w:rsidRPr="009C7F84" w:rsidRDefault="009C7F84" w:rsidP="009C7F84">
      <w:pPr>
        <w:ind w:left="720" w:hanging="720"/>
        <w:rPr>
          <w:rFonts w:ascii="Cambria" w:hAnsi="Cambria"/>
          <w:noProof/>
        </w:rPr>
      </w:pPr>
      <w:bookmarkStart w:id="7" w:name="_ENREF_7"/>
      <w:r w:rsidRPr="009C7F84">
        <w:rPr>
          <w:rFonts w:ascii="Cambria" w:hAnsi="Cambria"/>
          <w:noProof/>
        </w:rPr>
        <w:t xml:space="preserve">Boyer, E. L. (1990). </w:t>
      </w:r>
      <w:r w:rsidRPr="009C7F84">
        <w:rPr>
          <w:rFonts w:ascii="Cambria" w:hAnsi="Cambria"/>
          <w:noProof/>
          <w:u w:val="single"/>
        </w:rPr>
        <w:t>Scholarship reconsidered: priorities of the professoriate</w:t>
      </w:r>
      <w:r w:rsidRPr="009C7F84">
        <w:rPr>
          <w:rFonts w:ascii="Cambria" w:hAnsi="Cambria"/>
          <w:noProof/>
        </w:rPr>
        <w:t>. Princeton, NJ, Carnegie Foundation for the Advancement of Teaching.</w:t>
      </w:r>
      <w:bookmarkEnd w:id="7"/>
    </w:p>
    <w:p w:rsidR="009C7F84" w:rsidRPr="009C7F84" w:rsidRDefault="009C7F84" w:rsidP="009C7F84">
      <w:pPr>
        <w:ind w:left="720" w:hanging="720"/>
        <w:rPr>
          <w:rFonts w:ascii="Cambria" w:hAnsi="Cambria"/>
          <w:noProof/>
        </w:rPr>
      </w:pPr>
      <w:bookmarkStart w:id="8" w:name="_ENREF_8"/>
      <w:r w:rsidRPr="009C7F84">
        <w:rPr>
          <w:rFonts w:ascii="Cambria" w:hAnsi="Cambria"/>
          <w:noProof/>
        </w:rPr>
        <w:t xml:space="preserve">Burton, G. (2009). The open scholar. </w:t>
      </w:r>
      <w:r w:rsidRPr="009C7F84">
        <w:rPr>
          <w:rFonts w:ascii="Cambria" w:hAnsi="Cambria"/>
          <w:noProof/>
          <w:u w:val="single"/>
        </w:rPr>
        <w:t>Academic Evolution</w:t>
      </w:r>
      <w:r w:rsidRPr="009C7F84">
        <w:rPr>
          <w:rFonts w:ascii="Cambria" w:hAnsi="Cambria"/>
          <w:noProof/>
        </w:rPr>
        <w:t>.</w:t>
      </w:r>
      <w:bookmarkEnd w:id="8"/>
    </w:p>
    <w:p w:rsidR="009C7F84" w:rsidRPr="009C7F84" w:rsidRDefault="009C7F84" w:rsidP="009C7F84">
      <w:pPr>
        <w:ind w:left="720" w:hanging="720"/>
        <w:rPr>
          <w:rFonts w:ascii="Cambria" w:hAnsi="Cambria"/>
          <w:noProof/>
        </w:rPr>
      </w:pPr>
      <w:bookmarkStart w:id="9" w:name="_ENREF_9"/>
      <w:r w:rsidRPr="009C7F84">
        <w:rPr>
          <w:rFonts w:ascii="Cambria" w:hAnsi="Cambria"/>
          <w:noProof/>
        </w:rPr>
        <w:lastRenderedPageBreak/>
        <w:t xml:space="preserve">Clow, D. and E. Makriyannis (2011). </w:t>
      </w:r>
      <w:r w:rsidRPr="009C7F84">
        <w:rPr>
          <w:rFonts w:ascii="Cambria" w:hAnsi="Cambria"/>
          <w:noProof/>
          <w:u w:val="single"/>
        </w:rPr>
        <w:t>iSpot analysed: participatoiry learning and reputation</w:t>
      </w:r>
      <w:r w:rsidRPr="009C7F84">
        <w:rPr>
          <w:rFonts w:ascii="Cambria" w:hAnsi="Cambria"/>
          <w:noProof/>
        </w:rPr>
        <w:t>. 1st learning analytics and knowledge conference, Banff, Canada.</w:t>
      </w:r>
      <w:bookmarkEnd w:id="9"/>
    </w:p>
    <w:p w:rsidR="009C7F84" w:rsidRPr="009C7F84" w:rsidRDefault="009C7F84" w:rsidP="009C7F84">
      <w:pPr>
        <w:ind w:left="720" w:hanging="720"/>
        <w:rPr>
          <w:rFonts w:ascii="Cambria" w:hAnsi="Cambria"/>
          <w:noProof/>
        </w:rPr>
      </w:pPr>
      <w:bookmarkStart w:id="10" w:name="_ENREF_10"/>
      <w:r w:rsidRPr="009C7F84">
        <w:rPr>
          <w:rFonts w:ascii="Cambria" w:hAnsi="Cambria"/>
          <w:noProof/>
        </w:rPr>
        <w:t xml:space="preserve">Conole, G. (2007). The nature of academic discourse. </w:t>
      </w:r>
      <w:r w:rsidRPr="009C7F84">
        <w:rPr>
          <w:rFonts w:ascii="Cambria" w:hAnsi="Cambria"/>
          <w:noProof/>
          <w:u w:val="single"/>
        </w:rPr>
        <w:t>E4innovation: e-learning innovation: research, evaluation, practice and policy</w:t>
      </w:r>
      <w:r w:rsidRPr="009C7F84">
        <w:rPr>
          <w:rFonts w:ascii="Cambria" w:hAnsi="Cambria"/>
          <w:noProof/>
        </w:rPr>
        <w:t>.</w:t>
      </w:r>
      <w:bookmarkEnd w:id="10"/>
    </w:p>
    <w:p w:rsidR="009C7F84" w:rsidRPr="009C7F84" w:rsidRDefault="009C7F84" w:rsidP="009C7F84">
      <w:pPr>
        <w:ind w:left="720" w:hanging="720"/>
        <w:rPr>
          <w:rFonts w:ascii="Cambria" w:hAnsi="Cambria"/>
          <w:noProof/>
        </w:rPr>
      </w:pPr>
      <w:bookmarkStart w:id="11" w:name="_ENREF_11"/>
      <w:r w:rsidRPr="009C7F84">
        <w:rPr>
          <w:rFonts w:ascii="Cambria" w:hAnsi="Cambria"/>
          <w:noProof/>
        </w:rPr>
        <w:t xml:space="preserve">Conole, G. (2008). Capturing practice, the role of mediating artefacts in learning design. </w:t>
      </w:r>
      <w:r w:rsidRPr="009C7F84">
        <w:rPr>
          <w:rFonts w:ascii="Cambria" w:hAnsi="Cambria"/>
          <w:noProof/>
          <w:u w:val="single"/>
        </w:rPr>
        <w:t>In L. Lockyer, S. Bennett, S. Agostinhi and B. Harper Handbook of learning designs and learning objects</w:t>
      </w:r>
      <w:r w:rsidRPr="009C7F84">
        <w:rPr>
          <w:rFonts w:ascii="Cambria" w:hAnsi="Cambria"/>
          <w:noProof/>
        </w:rPr>
        <w:t>, IGI Global.</w:t>
      </w:r>
      <w:bookmarkEnd w:id="11"/>
    </w:p>
    <w:p w:rsidR="009C7F84" w:rsidRPr="009C7F84" w:rsidRDefault="009C7F84" w:rsidP="009C7F84">
      <w:pPr>
        <w:ind w:left="720" w:hanging="720"/>
        <w:rPr>
          <w:rFonts w:ascii="Cambria" w:hAnsi="Cambria"/>
          <w:noProof/>
        </w:rPr>
      </w:pPr>
      <w:bookmarkStart w:id="12" w:name="_ENREF_12"/>
      <w:r w:rsidRPr="009C7F84">
        <w:rPr>
          <w:rFonts w:ascii="Cambria" w:hAnsi="Cambria"/>
          <w:noProof/>
        </w:rPr>
        <w:t xml:space="preserve">Conole, G. (2012). "The 7Cs of design and delivery." </w:t>
      </w:r>
      <w:r w:rsidRPr="009C7F84">
        <w:rPr>
          <w:rFonts w:ascii="Cambria" w:hAnsi="Cambria"/>
          <w:noProof/>
          <w:u w:val="single"/>
        </w:rPr>
        <w:t>e4innovation.com</w:t>
      </w:r>
      <w:r w:rsidRPr="009C7F84">
        <w:rPr>
          <w:rFonts w:ascii="Cambria" w:hAnsi="Cambria"/>
          <w:noProof/>
        </w:rPr>
        <w:t xml:space="preserve"> </w:t>
      </w:r>
      <w:hyperlink r:id="rId28" w:history="1">
        <w:r w:rsidRPr="009C7F84">
          <w:rPr>
            <w:rStyle w:val="Hyperlink"/>
            <w:rFonts w:ascii="Cambria" w:hAnsi="Cambria"/>
            <w:noProof/>
          </w:rPr>
          <w:t>http://e4innovation.com/?p=520</w:t>
        </w:r>
      </w:hyperlink>
      <w:r w:rsidRPr="009C7F84">
        <w:rPr>
          <w:rFonts w:ascii="Cambria" w:hAnsi="Cambria"/>
          <w:noProof/>
        </w:rPr>
        <w:t>.</w:t>
      </w:r>
      <w:bookmarkEnd w:id="12"/>
    </w:p>
    <w:p w:rsidR="009C7F84" w:rsidRPr="009C7F84" w:rsidRDefault="009C7F84" w:rsidP="009C7F84">
      <w:pPr>
        <w:ind w:left="720" w:hanging="720"/>
        <w:rPr>
          <w:rFonts w:ascii="Cambria" w:hAnsi="Cambria"/>
          <w:noProof/>
        </w:rPr>
      </w:pPr>
      <w:bookmarkStart w:id="13" w:name="_ENREF_13"/>
      <w:r w:rsidRPr="009C7F84">
        <w:rPr>
          <w:rFonts w:ascii="Cambria" w:hAnsi="Cambria"/>
          <w:noProof/>
        </w:rPr>
        <w:t xml:space="preserve">Conole, G. (Forthcoming). </w:t>
      </w:r>
      <w:r w:rsidRPr="009C7F84">
        <w:rPr>
          <w:rFonts w:ascii="Cambria" w:hAnsi="Cambria"/>
          <w:noProof/>
          <w:u w:val="single"/>
        </w:rPr>
        <w:t>Designing for learning in an open world</w:t>
      </w:r>
      <w:r w:rsidRPr="009C7F84">
        <w:rPr>
          <w:rFonts w:ascii="Cambria" w:hAnsi="Cambria"/>
          <w:noProof/>
        </w:rPr>
        <w:t>. New York, Springer.</w:t>
      </w:r>
      <w:bookmarkEnd w:id="13"/>
    </w:p>
    <w:p w:rsidR="009C7F84" w:rsidRPr="009C7F84" w:rsidRDefault="009C7F84" w:rsidP="009C7F84">
      <w:pPr>
        <w:ind w:left="720" w:hanging="720"/>
        <w:rPr>
          <w:rFonts w:ascii="Cambria" w:hAnsi="Cambria"/>
          <w:noProof/>
        </w:rPr>
      </w:pPr>
      <w:bookmarkStart w:id="14" w:name="_ENREF_14"/>
      <w:r w:rsidRPr="009C7F84">
        <w:rPr>
          <w:rFonts w:ascii="Cambria" w:hAnsi="Cambria"/>
          <w:noProof/>
        </w:rPr>
        <w:t xml:space="preserve">Conole, G. (Forthcoming). The nature of openness. </w:t>
      </w:r>
      <w:r w:rsidRPr="009C7F84">
        <w:rPr>
          <w:rFonts w:ascii="Cambria" w:hAnsi="Cambria"/>
          <w:noProof/>
          <w:u w:val="single"/>
        </w:rPr>
        <w:t>Designing for learning in an open world</w:t>
      </w:r>
      <w:r w:rsidRPr="009C7F84">
        <w:rPr>
          <w:rFonts w:ascii="Cambria" w:hAnsi="Cambria"/>
          <w:noProof/>
        </w:rPr>
        <w:t>. New York, Srpinger.</w:t>
      </w:r>
      <w:bookmarkEnd w:id="14"/>
    </w:p>
    <w:p w:rsidR="009C7F84" w:rsidRPr="009C7F84" w:rsidRDefault="009C7F84" w:rsidP="009C7F84">
      <w:pPr>
        <w:ind w:left="720" w:hanging="720"/>
        <w:rPr>
          <w:rFonts w:ascii="Cambria" w:hAnsi="Cambria"/>
          <w:noProof/>
        </w:rPr>
      </w:pPr>
      <w:bookmarkStart w:id="15" w:name="_ENREF_15"/>
      <w:r w:rsidRPr="009C7F84">
        <w:rPr>
          <w:rFonts w:ascii="Cambria" w:hAnsi="Cambria"/>
          <w:noProof/>
        </w:rPr>
        <w:t>Conole, G. and P. Alevizou (2010) "Review of the use(s) of Web 2.0 in Higher Education."</w:t>
      </w:r>
      <w:bookmarkEnd w:id="15"/>
    </w:p>
    <w:p w:rsidR="009C7F84" w:rsidRPr="009C7F84" w:rsidRDefault="009C7F84" w:rsidP="009C7F84">
      <w:pPr>
        <w:ind w:left="720" w:hanging="720"/>
        <w:rPr>
          <w:rFonts w:ascii="Cambria" w:hAnsi="Cambria"/>
          <w:noProof/>
        </w:rPr>
      </w:pPr>
      <w:bookmarkStart w:id="16" w:name="_ENREF_16"/>
      <w:r w:rsidRPr="009C7F84">
        <w:rPr>
          <w:rFonts w:ascii="Cambria" w:hAnsi="Cambria"/>
          <w:noProof/>
        </w:rPr>
        <w:t xml:space="preserve">Conole, G. and M. Dyke (2004). "What are the affordances of information and communication technologies?" </w:t>
      </w:r>
      <w:r w:rsidRPr="009C7F84">
        <w:rPr>
          <w:rFonts w:ascii="Cambria" w:hAnsi="Cambria"/>
          <w:noProof/>
          <w:u w:val="single"/>
        </w:rPr>
        <w:t>ALT-J</w:t>
      </w:r>
      <w:r w:rsidRPr="009C7F84">
        <w:rPr>
          <w:rFonts w:ascii="Cambria" w:hAnsi="Cambria"/>
          <w:noProof/>
        </w:rPr>
        <w:t xml:space="preserve"> </w:t>
      </w:r>
      <w:r w:rsidRPr="009C7F84">
        <w:rPr>
          <w:rFonts w:ascii="Cambria" w:hAnsi="Cambria"/>
          <w:b/>
          <w:noProof/>
        </w:rPr>
        <w:t>12</w:t>
      </w:r>
      <w:r w:rsidRPr="009C7F84">
        <w:rPr>
          <w:rFonts w:ascii="Cambria" w:hAnsi="Cambria"/>
          <w:noProof/>
        </w:rPr>
        <w:t xml:space="preserve">(2): 113-124 %U </w:t>
      </w:r>
      <w:hyperlink r:id="rId29" w:history="1">
        <w:r w:rsidRPr="009C7F84">
          <w:rPr>
            <w:rStyle w:val="Hyperlink"/>
            <w:rFonts w:ascii="Cambria" w:hAnsi="Cambria"/>
            <w:noProof/>
          </w:rPr>
          <w:t>http://oro.open.ac.uk/6981/</w:t>
        </w:r>
      </w:hyperlink>
      <w:r w:rsidRPr="009C7F84">
        <w:rPr>
          <w:rFonts w:ascii="Cambria" w:hAnsi="Cambria"/>
          <w:noProof/>
        </w:rPr>
        <w:t>.</w:t>
      </w:r>
      <w:bookmarkEnd w:id="16"/>
    </w:p>
    <w:p w:rsidR="009C7F84" w:rsidRPr="009C7F84" w:rsidRDefault="009C7F84" w:rsidP="009C7F84">
      <w:pPr>
        <w:ind w:left="720" w:hanging="720"/>
        <w:rPr>
          <w:rFonts w:ascii="Cambria" w:hAnsi="Cambria"/>
          <w:noProof/>
        </w:rPr>
      </w:pPr>
      <w:bookmarkStart w:id="17" w:name="_ENREF_17"/>
      <w:r w:rsidRPr="009C7F84">
        <w:rPr>
          <w:rFonts w:ascii="Cambria" w:hAnsi="Cambria"/>
          <w:noProof/>
        </w:rPr>
        <w:t xml:space="preserve">Downes, S. (2007). </w:t>
      </w:r>
      <w:r w:rsidRPr="009C7F84">
        <w:rPr>
          <w:rFonts w:ascii="Cambria" w:hAnsi="Cambria"/>
          <w:noProof/>
          <w:u w:val="single"/>
        </w:rPr>
        <w:t>An introduction to connective knowledge</w:t>
      </w:r>
      <w:r w:rsidRPr="009C7F84">
        <w:rPr>
          <w:rFonts w:ascii="Cambria" w:hAnsi="Cambria"/>
          <w:noProof/>
        </w:rPr>
        <w:t>. Media, Knowledge &amp; Education - Exploring new Spaces, Relations and Dynamics in Digital Media Ecologies, Vienna.</w:t>
      </w:r>
      <w:bookmarkEnd w:id="17"/>
    </w:p>
    <w:p w:rsidR="009C7F84" w:rsidRPr="009C7F84" w:rsidRDefault="009C7F84" w:rsidP="009C7F84">
      <w:pPr>
        <w:ind w:left="720" w:hanging="720"/>
        <w:rPr>
          <w:rFonts w:ascii="Cambria" w:hAnsi="Cambria"/>
          <w:noProof/>
        </w:rPr>
      </w:pPr>
      <w:bookmarkStart w:id="18" w:name="_ENREF_18"/>
      <w:r w:rsidRPr="009C7F84">
        <w:rPr>
          <w:rFonts w:ascii="Cambria" w:hAnsi="Cambria"/>
          <w:noProof/>
        </w:rPr>
        <w:t xml:space="preserve">Dron, J. and T. Anderson (2007). Collectives, networks and groups in social software for e-Learning. </w:t>
      </w:r>
      <w:r w:rsidRPr="009C7F84">
        <w:rPr>
          <w:rFonts w:ascii="Cambria" w:hAnsi="Cambria"/>
          <w:noProof/>
          <w:u w:val="single"/>
        </w:rPr>
        <w:t>Proceedings of World Conference on E-Learning in Corporate, Government, Healthcare, and Higher Education Quebec. Retrieved Feb</w:t>
      </w:r>
      <w:r w:rsidRPr="009C7F84">
        <w:rPr>
          <w:rFonts w:ascii="Cambria" w:hAnsi="Cambria"/>
          <w:noProof/>
        </w:rPr>
        <w:t xml:space="preserve">. </w:t>
      </w:r>
      <w:r w:rsidRPr="009C7F84">
        <w:rPr>
          <w:rFonts w:ascii="Cambria" w:hAnsi="Cambria"/>
          <w:b/>
          <w:noProof/>
        </w:rPr>
        <w:t xml:space="preserve">16: </w:t>
      </w:r>
      <w:r w:rsidRPr="009C7F84">
        <w:rPr>
          <w:rFonts w:ascii="Cambria" w:hAnsi="Cambria"/>
          <w:noProof/>
        </w:rPr>
        <w:t>2008.</w:t>
      </w:r>
      <w:bookmarkEnd w:id="18"/>
    </w:p>
    <w:p w:rsidR="009C7F84" w:rsidRPr="009C7F84" w:rsidRDefault="009C7F84" w:rsidP="009C7F84">
      <w:pPr>
        <w:ind w:left="720" w:hanging="720"/>
        <w:rPr>
          <w:rFonts w:ascii="Cambria" w:hAnsi="Cambria"/>
          <w:noProof/>
        </w:rPr>
      </w:pPr>
      <w:bookmarkStart w:id="19" w:name="_ENREF_19"/>
      <w:r w:rsidRPr="009C7F84">
        <w:rPr>
          <w:rFonts w:ascii="Cambria" w:hAnsi="Cambria"/>
          <w:noProof/>
        </w:rPr>
        <w:t xml:space="preserve">Gibson, J. J. (1979). </w:t>
      </w:r>
      <w:r w:rsidRPr="009C7F84">
        <w:rPr>
          <w:rFonts w:ascii="Cambria" w:hAnsi="Cambria"/>
          <w:noProof/>
          <w:u w:val="single"/>
        </w:rPr>
        <w:t>The ecological approach to visual perception</w:t>
      </w:r>
      <w:r w:rsidRPr="009C7F84">
        <w:rPr>
          <w:rFonts w:ascii="Cambria" w:hAnsi="Cambria"/>
          <w:noProof/>
        </w:rPr>
        <w:t>. Hillsdale, New Jersey, Lawrence Erlbaum Associated.</w:t>
      </w:r>
      <w:bookmarkEnd w:id="19"/>
    </w:p>
    <w:p w:rsidR="009C7F84" w:rsidRPr="009C7F84" w:rsidRDefault="009C7F84" w:rsidP="009C7F84">
      <w:pPr>
        <w:ind w:left="720" w:hanging="720"/>
        <w:rPr>
          <w:rFonts w:ascii="Cambria" w:hAnsi="Cambria"/>
          <w:noProof/>
        </w:rPr>
      </w:pPr>
      <w:bookmarkStart w:id="20" w:name="_ENREF_20"/>
      <w:r w:rsidRPr="009C7F84">
        <w:rPr>
          <w:rFonts w:ascii="Cambria" w:hAnsi="Cambria"/>
          <w:noProof/>
        </w:rPr>
        <w:t xml:space="preserve">Harnard, S. and J. Hey (1995). </w:t>
      </w:r>
      <w:r w:rsidRPr="009C7F84">
        <w:rPr>
          <w:rFonts w:ascii="Cambria" w:hAnsi="Cambria"/>
          <w:noProof/>
          <w:u w:val="single"/>
        </w:rPr>
        <w:t>Esoteric knowledge, the scholar and scholarly publishing on the Net</w:t>
      </w:r>
      <w:r w:rsidRPr="009C7F84">
        <w:rPr>
          <w:rFonts w:ascii="Cambria" w:hAnsi="Cambria"/>
          <w:noProof/>
        </w:rPr>
        <w:t>. London, Library Association Publishing.</w:t>
      </w:r>
      <w:bookmarkEnd w:id="20"/>
    </w:p>
    <w:p w:rsidR="009C7F84" w:rsidRPr="009C7F84" w:rsidRDefault="009C7F84" w:rsidP="009C7F84">
      <w:pPr>
        <w:ind w:left="720" w:hanging="720"/>
        <w:rPr>
          <w:rFonts w:ascii="Cambria" w:hAnsi="Cambria"/>
          <w:noProof/>
        </w:rPr>
      </w:pPr>
      <w:bookmarkStart w:id="21" w:name="_ENREF_21"/>
      <w:r w:rsidRPr="009C7F84">
        <w:rPr>
          <w:rFonts w:ascii="Cambria" w:hAnsi="Cambria"/>
          <w:noProof/>
        </w:rPr>
        <w:t xml:space="preserve">Hey, J. (1997). "E-Journals for research: the user perspective." </w:t>
      </w:r>
      <w:r w:rsidRPr="009C7F84">
        <w:rPr>
          <w:rFonts w:ascii="Cambria" w:hAnsi="Cambria"/>
          <w:noProof/>
          <w:u w:val="single"/>
        </w:rPr>
        <w:t>Serials</w:t>
      </w:r>
      <w:r w:rsidRPr="009C7F84">
        <w:rPr>
          <w:rFonts w:ascii="Cambria" w:hAnsi="Cambria"/>
          <w:noProof/>
        </w:rPr>
        <w:t xml:space="preserve"> </w:t>
      </w:r>
      <w:r w:rsidRPr="009C7F84">
        <w:rPr>
          <w:rFonts w:ascii="Cambria" w:hAnsi="Cambria"/>
          <w:b/>
          <w:noProof/>
        </w:rPr>
        <w:t>10</w:t>
      </w:r>
      <w:r w:rsidRPr="009C7F84">
        <w:rPr>
          <w:rFonts w:ascii="Cambria" w:hAnsi="Cambria"/>
          <w:noProof/>
        </w:rPr>
        <w:t>(1): 65-68.</w:t>
      </w:r>
      <w:bookmarkEnd w:id="21"/>
    </w:p>
    <w:p w:rsidR="009C7F84" w:rsidRPr="009C7F84" w:rsidRDefault="009C7F84" w:rsidP="009C7F84">
      <w:pPr>
        <w:ind w:left="720" w:hanging="720"/>
        <w:rPr>
          <w:rFonts w:ascii="Cambria" w:hAnsi="Cambria"/>
          <w:noProof/>
        </w:rPr>
      </w:pPr>
      <w:bookmarkStart w:id="22" w:name="_ENREF_22"/>
      <w:r w:rsidRPr="009C7F84">
        <w:rPr>
          <w:rFonts w:ascii="Cambria" w:hAnsi="Cambria"/>
          <w:noProof/>
        </w:rPr>
        <w:t xml:space="preserve">Hey, J. (2004). Targetting academic research with Southampton's institutional repository. </w:t>
      </w:r>
      <w:r w:rsidRPr="009C7F84">
        <w:rPr>
          <w:rFonts w:ascii="Cambria" w:hAnsi="Cambria"/>
          <w:noProof/>
          <w:u w:val="single"/>
        </w:rPr>
        <w:t>Ariadne</w:t>
      </w:r>
      <w:r w:rsidRPr="009C7F84">
        <w:rPr>
          <w:rFonts w:ascii="Cambria" w:hAnsi="Cambria"/>
          <w:noProof/>
        </w:rPr>
        <w:t xml:space="preserve">. </w:t>
      </w:r>
      <w:r w:rsidRPr="009C7F84">
        <w:rPr>
          <w:rFonts w:ascii="Cambria" w:hAnsi="Cambria"/>
          <w:b/>
          <w:noProof/>
        </w:rPr>
        <w:t>40</w:t>
      </w:r>
      <w:r w:rsidRPr="009C7F84">
        <w:rPr>
          <w:rFonts w:ascii="Cambria" w:hAnsi="Cambria"/>
          <w:noProof/>
        </w:rPr>
        <w:t>.</w:t>
      </w:r>
      <w:bookmarkEnd w:id="22"/>
    </w:p>
    <w:p w:rsidR="009C7F84" w:rsidRPr="009C7F84" w:rsidRDefault="009C7F84" w:rsidP="009C7F84">
      <w:pPr>
        <w:ind w:left="720" w:hanging="720"/>
        <w:rPr>
          <w:rFonts w:ascii="Cambria" w:hAnsi="Cambria"/>
          <w:noProof/>
        </w:rPr>
      </w:pPr>
      <w:bookmarkStart w:id="23" w:name="_ENREF_23"/>
      <w:r w:rsidRPr="009C7F84">
        <w:rPr>
          <w:rFonts w:ascii="Cambria" w:hAnsi="Cambria"/>
          <w:noProof/>
        </w:rPr>
        <w:t xml:space="preserve">Jenkins, H. (2009). </w:t>
      </w:r>
      <w:r w:rsidRPr="009C7F84">
        <w:rPr>
          <w:rFonts w:ascii="Cambria" w:hAnsi="Cambria"/>
          <w:noProof/>
          <w:u w:val="single"/>
        </w:rPr>
        <w:t>Confronting the challenges of participatory culture: Media education for the 21st century</w:t>
      </w:r>
      <w:r w:rsidRPr="009C7F84">
        <w:rPr>
          <w:rFonts w:ascii="Cambria" w:hAnsi="Cambria"/>
          <w:noProof/>
        </w:rPr>
        <w:t>, Mit Pr.</w:t>
      </w:r>
      <w:bookmarkEnd w:id="23"/>
    </w:p>
    <w:p w:rsidR="009C7F84" w:rsidRPr="009C7F84" w:rsidRDefault="009C7F84" w:rsidP="009C7F84">
      <w:pPr>
        <w:ind w:left="720" w:hanging="720"/>
        <w:rPr>
          <w:rFonts w:ascii="Cambria" w:hAnsi="Cambria"/>
          <w:noProof/>
        </w:rPr>
      </w:pPr>
      <w:bookmarkStart w:id="24" w:name="_ENREF_24"/>
      <w:r w:rsidRPr="009C7F84">
        <w:rPr>
          <w:rFonts w:ascii="Cambria" w:hAnsi="Cambria"/>
          <w:noProof/>
        </w:rPr>
        <w:t xml:space="preserve">Lankshear, C. and M. Knobel (2006). "Digital literacies: Policy, pedagogy and research considerations for education." </w:t>
      </w:r>
      <w:r w:rsidRPr="009C7F84">
        <w:rPr>
          <w:rFonts w:ascii="Cambria" w:hAnsi="Cambria"/>
          <w:noProof/>
          <w:u w:val="single"/>
        </w:rPr>
        <w:t>Nordic Journal of digital literacy</w:t>
      </w:r>
      <w:r w:rsidRPr="009C7F84">
        <w:rPr>
          <w:rFonts w:ascii="Cambria" w:hAnsi="Cambria"/>
          <w:noProof/>
        </w:rPr>
        <w:t xml:space="preserve"> </w:t>
      </w:r>
      <w:r w:rsidRPr="009C7F84">
        <w:rPr>
          <w:rFonts w:ascii="Cambria" w:hAnsi="Cambria"/>
          <w:b/>
          <w:noProof/>
        </w:rPr>
        <w:t>1</w:t>
      </w:r>
      <w:r w:rsidRPr="009C7F84">
        <w:rPr>
          <w:rFonts w:ascii="Cambria" w:hAnsi="Cambria"/>
          <w:noProof/>
        </w:rPr>
        <w:t>(1): 226.</w:t>
      </w:r>
      <w:bookmarkEnd w:id="24"/>
    </w:p>
    <w:p w:rsidR="009C7F84" w:rsidRPr="009C7F84" w:rsidRDefault="009C7F84" w:rsidP="009C7F84">
      <w:pPr>
        <w:ind w:left="720" w:hanging="720"/>
        <w:rPr>
          <w:rFonts w:ascii="Cambria" w:hAnsi="Cambria"/>
          <w:noProof/>
        </w:rPr>
      </w:pPr>
      <w:bookmarkStart w:id="25" w:name="_ENREF_25"/>
      <w:r w:rsidRPr="009C7F84">
        <w:rPr>
          <w:rFonts w:ascii="Cambria" w:hAnsi="Cambria"/>
          <w:noProof/>
        </w:rPr>
        <w:t xml:space="preserve">Lévy, P. (1997). </w:t>
      </w:r>
      <w:r w:rsidRPr="009C7F84">
        <w:rPr>
          <w:rFonts w:ascii="Cambria" w:hAnsi="Cambria"/>
          <w:noProof/>
          <w:u w:val="single"/>
        </w:rPr>
        <w:t>Collective intelligence: Mankind's emerging world in cyberspace</w:t>
      </w:r>
      <w:r w:rsidRPr="009C7F84">
        <w:rPr>
          <w:rFonts w:ascii="Cambria" w:hAnsi="Cambria"/>
          <w:noProof/>
        </w:rPr>
        <w:t>, Perseus Books Cambridge, MA, USA.</w:t>
      </w:r>
      <w:bookmarkEnd w:id="25"/>
    </w:p>
    <w:p w:rsidR="009C7F84" w:rsidRPr="009C7F84" w:rsidRDefault="009C7F84" w:rsidP="009C7F84">
      <w:pPr>
        <w:ind w:left="720" w:hanging="720"/>
        <w:rPr>
          <w:rFonts w:ascii="Cambria" w:hAnsi="Cambria"/>
          <w:noProof/>
        </w:rPr>
      </w:pPr>
      <w:bookmarkStart w:id="26" w:name="_ENREF_26"/>
      <w:r w:rsidRPr="009C7F84">
        <w:rPr>
          <w:rFonts w:ascii="Cambria" w:hAnsi="Cambria"/>
          <w:noProof/>
        </w:rPr>
        <w:t xml:space="preserve">Mackness, J., S. Mak, et al. (2010). </w:t>
      </w:r>
      <w:r w:rsidRPr="009C7F84">
        <w:rPr>
          <w:rFonts w:ascii="Cambria" w:hAnsi="Cambria"/>
          <w:noProof/>
          <w:u w:val="single"/>
        </w:rPr>
        <w:t>The ideals and reality of participating in a MOOC</w:t>
      </w:r>
      <w:r w:rsidRPr="009C7F84">
        <w:rPr>
          <w:rFonts w:ascii="Cambria" w:hAnsi="Cambria"/>
          <w:noProof/>
        </w:rPr>
        <w:t>. 7th International Conference of Networked Learning, Lancaster Lancaster Univeristy.</w:t>
      </w:r>
      <w:bookmarkEnd w:id="26"/>
    </w:p>
    <w:p w:rsidR="009C7F84" w:rsidRPr="009C7F84" w:rsidRDefault="009C7F84" w:rsidP="009C7F84">
      <w:pPr>
        <w:ind w:left="720" w:hanging="720"/>
        <w:rPr>
          <w:rFonts w:ascii="Cambria" w:hAnsi="Cambria"/>
          <w:noProof/>
        </w:rPr>
      </w:pPr>
      <w:bookmarkStart w:id="27" w:name="_ENREF_27"/>
      <w:r w:rsidRPr="009C7F84">
        <w:rPr>
          <w:rFonts w:ascii="Cambria" w:hAnsi="Cambria"/>
          <w:noProof/>
        </w:rPr>
        <w:t>McAuley, A., B. Stewart, et al. (2010). The MOOC model for digital practice.</w:t>
      </w:r>
      <w:bookmarkEnd w:id="27"/>
    </w:p>
    <w:p w:rsidR="009C7F84" w:rsidRPr="009C7F84" w:rsidRDefault="009C7F84" w:rsidP="009C7F84">
      <w:pPr>
        <w:ind w:left="720" w:hanging="720"/>
        <w:rPr>
          <w:rFonts w:ascii="Cambria" w:hAnsi="Cambria"/>
          <w:noProof/>
        </w:rPr>
      </w:pPr>
      <w:bookmarkStart w:id="28" w:name="_ENREF_28"/>
      <w:r w:rsidRPr="009C7F84">
        <w:rPr>
          <w:rFonts w:ascii="Cambria" w:hAnsi="Cambria"/>
          <w:noProof/>
        </w:rPr>
        <w:t xml:space="preserve">Naughton, J. (2012). </w:t>
      </w:r>
      <w:r w:rsidRPr="009C7F84">
        <w:rPr>
          <w:rFonts w:ascii="Cambria" w:hAnsi="Cambria"/>
          <w:noProof/>
          <w:u w:val="single"/>
        </w:rPr>
        <w:t>From Gutenberg to Zuckerberg, what you really need to know  about the internet</w:t>
      </w:r>
      <w:r w:rsidRPr="009C7F84">
        <w:rPr>
          <w:rFonts w:ascii="Cambria" w:hAnsi="Cambria"/>
          <w:noProof/>
        </w:rPr>
        <w:t>.</w:t>
      </w:r>
      <w:bookmarkEnd w:id="28"/>
    </w:p>
    <w:p w:rsidR="009C7F84" w:rsidRPr="009C7F84" w:rsidRDefault="009C7F84" w:rsidP="009C7F84">
      <w:pPr>
        <w:ind w:left="720" w:hanging="720"/>
        <w:rPr>
          <w:rFonts w:ascii="Cambria" w:hAnsi="Cambria"/>
          <w:noProof/>
        </w:rPr>
      </w:pPr>
      <w:bookmarkStart w:id="29" w:name="_ENREF_29"/>
      <w:r w:rsidRPr="009C7F84">
        <w:rPr>
          <w:rFonts w:ascii="Cambria" w:hAnsi="Cambria"/>
          <w:noProof/>
        </w:rPr>
        <w:t xml:space="preserve">Norris, P. (2001). </w:t>
      </w:r>
      <w:r w:rsidRPr="009C7F84">
        <w:rPr>
          <w:rFonts w:ascii="Cambria" w:hAnsi="Cambria"/>
          <w:noProof/>
          <w:u w:val="single"/>
        </w:rPr>
        <w:t>Digital divide: Civic engagement, information poverty, and the Internet worldwide</w:t>
      </w:r>
      <w:r w:rsidRPr="009C7F84">
        <w:rPr>
          <w:rFonts w:ascii="Cambria" w:hAnsi="Cambria"/>
          <w:noProof/>
        </w:rPr>
        <w:t>, Cambridge Univ Pr.</w:t>
      </w:r>
      <w:bookmarkEnd w:id="29"/>
    </w:p>
    <w:p w:rsidR="009C7F84" w:rsidRPr="009C7F84" w:rsidRDefault="009C7F84" w:rsidP="009C7F84">
      <w:pPr>
        <w:ind w:left="720" w:hanging="720"/>
        <w:rPr>
          <w:rFonts w:ascii="Cambria" w:hAnsi="Cambria"/>
          <w:noProof/>
        </w:rPr>
      </w:pPr>
      <w:bookmarkStart w:id="30" w:name="_ENREF_30"/>
      <w:r w:rsidRPr="009C7F84">
        <w:rPr>
          <w:rFonts w:ascii="Cambria" w:hAnsi="Cambria"/>
          <w:noProof/>
        </w:rPr>
        <w:lastRenderedPageBreak/>
        <w:t xml:space="preserve">Pearce, N., M. Weller, et al. (2010). Digital scholarship considered: how new technologies could transform academic work </w:t>
      </w:r>
      <w:r w:rsidRPr="009C7F84">
        <w:rPr>
          <w:rFonts w:ascii="Cambria" w:hAnsi="Cambria"/>
          <w:noProof/>
          <w:u w:val="single"/>
        </w:rPr>
        <w:t>Education</w:t>
      </w:r>
      <w:r w:rsidRPr="009C7F84">
        <w:rPr>
          <w:rFonts w:ascii="Cambria" w:hAnsi="Cambria"/>
          <w:noProof/>
        </w:rPr>
        <w:t xml:space="preserve">. </w:t>
      </w:r>
      <w:r w:rsidRPr="009C7F84">
        <w:rPr>
          <w:rFonts w:ascii="Cambria" w:hAnsi="Cambria"/>
          <w:b/>
          <w:noProof/>
        </w:rPr>
        <w:t>16</w:t>
      </w:r>
      <w:r w:rsidRPr="009C7F84">
        <w:rPr>
          <w:rFonts w:ascii="Cambria" w:hAnsi="Cambria"/>
          <w:noProof/>
        </w:rPr>
        <w:t>.</w:t>
      </w:r>
      <w:bookmarkEnd w:id="30"/>
    </w:p>
    <w:p w:rsidR="009C7F84" w:rsidRPr="009C7F84" w:rsidRDefault="009C7F84" w:rsidP="009C7F84">
      <w:pPr>
        <w:ind w:left="720" w:hanging="720"/>
        <w:rPr>
          <w:rFonts w:ascii="Cambria" w:hAnsi="Cambria"/>
          <w:noProof/>
        </w:rPr>
      </w:pPr>
      <w:bookmarkStart w:id="31" w:name="_ENREF_31"/>
      <w:r w:rsidRPr="009C7F84">
        <w:rPr>
          <w:rFonts w:ascii="Cambria" w:hAnsi="Cambria"/>
          <w:noProof/>
        </w:rPr>
        <w:t xml:space="preserve">Salomon, G., Ed. (1993). </w:t>
      </w:r>
      <w:r w:rsidRPr="009C7F84">
        <w:rPr>
          <w:rFonts w:ascii="Cambria" w:hAnsi="Cambria"/>
          <w:noProof/>
          <w:u w:val="single"/>
        </w:rPr>
        <w:t>Distributed cognitions - pyschological and educational considerations</w:t>
      </w:r>
      <w:r w:rsidRPr="009C7F84">
        <w:rPr>
          <w:rFonts w:ascii="Cambria" w:hAnsi="Cambria"/>
          <w:noProof/>
        </w:rPr>
        <w:t>. Cambridge, Cambridge University Press.</w:t>
      </w:r>
      <w:bookmarkEnd w:id="31"/>
    </w:p>
    <w:p w:rsidR="009C7F84" w:rsidRPr="009C7F84" w:rsidRDefault="009C7F84" w:rsidP="009C7F84">
      <w:pPr>
        <w:ind w:left="720" w:hanging="720"/>
        <w:rPr>
          <w:rFonts w:ascii="Cambria" w:hAnsi="Cambria"/>
          <w:noProof/>
        </w:rPr>
      </w:pPr>
      <w:bookmarkStart w:id="32" w:name="_ENREF_32"/>
      <w:r w:rsidRPr="009C7F84">
        <w:rPr>
          <w:rFonts w:ascii="Cambria" w:hAnsi="Cambria"/>
          <w:noProof/>
        </w:rPr>
        <w:t xml:space="preserve">Siemens, G. (2005). "Connectivism: A learning theory for the digital age." </w:t>
      </w:r>
      <w:r w:rsidRPr="009C7F84">
        <w:rPr>
          <w:rFonts w:ascii="Cambria" w:hAnsi="Cambria"/>
          <w:noProof/>
          <w:u w:val="single"/>
        </w:rPr>
        <w:t>International journal of instructional technology and distance learning</w:t>
      </w:r>
      <w:r w:rsidRPr="009C7F84">
        <w:rPr>
          <w:rFonts w:ascii="Cambria" w:hAnsi="Cambria"/>
          <w:noProof/>
        </w:rPr>
        <w:t xml:space="preserve"> </w:t>
      </w:r>
      <w:r w:rsidRPr="009C7F84">
        <w:rPr>
          <w:rFonts w:ascii="Cambria" w:hAnsi="Cambria"/>
          <w:b/>
          <w:noProof/>
        </w:rPr>
        <w:t>2</w:t>
      </w:r>
      <w:r w:rsidRPr="009C7F84">
        <w:rPr>
          <w:rFonts w:ascii="Cambria" w:hAnsi="Cambria"/>
          <w:noProof/>
        </w:rPr>
        <w:t>(1): 3–10.</w:t>
      </w:r>
      <w:bookmarkEnd w:id="32"/>
    </w:p>
    <w:p w:rsidR="009C7F84" w:rsidRPr="009C7F84" w:rsidRDefault="009C7F84" w:rsidP="009C7F84">
      <w:pPr>
        <w:ind w:left="720" w:hanging="720"/>
        <w:rPr>
          <w:rFonts w:ascii="Cambria" w:hAnsi="Cambria"/>
          <w:noProof/>
        </w:rPr>
      </w:pPr>
      <w:bookmarkStart w:id="33" w:name="_ENREF_33"/>
      <w:r w:rsidRPr="009C7F84">
        <w:rPr>
          <w:rFonts w:ascii="Cambria" w:hAnsi="Cambria"/>
          <w:noProof/>
        </w:rPr>
        <w:t xml:space="preserve">Solove, D. J. (2004). </w:t>
      </w:r>
      <w:r w:rsidRPr="009C7F84">
        <w:rPr>
          <w:rFonts w:ascii="Cambria" w:hAnsi="Cambria"/>
          <w:noProof/>
          <w:u w:val="single"/>
        </w:rPr>
        <w:t>The digital person - technology and privacy in the information age</w:t>
      </w:r>
      <w:r w:rsidRPr="009C7F84">
        <w:rPr>
          <w:rFonts w:ascii="Cambria" w:hAnsi="Cambria"/>
          <w:noProof/>
        </w:rPr>
        <w:t>. New York, New University Press.</w:t>
      </w:r>
      <w:bookmarkEnd w:id="33"/>
    </w:p>
    <w:p w:rsidR="009C7F84" w:rsidRPr="009C7F84" w:rsidRDefault="009C7F84" w:rsidP="009C7F84">
      <w:pPr>
        <w:ind w:left="720" w:hanging="720"/>
        <w:rPr>
          <w:rFonts w:ascii="Cambria" w:hAnsi="Cambria"/>
          <w:noProof/>
        </w:rPr>
      </w:pPr>
      <w:bookmarkStart w:id="34" w:name="_ENREF_34"/>
      <w:r w:rsidRPr="009C7F84">
        <w:rPr>
          <w:rFonts w:ascii="Cambria" w:hAnsi="Cambria"/>
          <w:noProof/>
        </w:rPr>
        <w:t xml:space="preserve">Wall, R. (2009). "Creativity is the new technology." </w:t>
      </w:r>
      <w:r w:rsidRPr="009C7F84">
        <w:rPr>
          <w:rFonts w:ascii="Cambria" w:hAnsi="Cambria"/>
          <w:noProof/>
          <w:u w:val="single"/>
        </w:rPr>
        <w:t>Zen and the art of being rob</w:t>
      </w:r>
      <w:r w:rsidRPr="009C7F84">
        <w:rPr>
          <w:rFonts w:ascii="Cambria" w:hAnsi="Cambria"/>
          <w:noProof/>
        </w:rPr>
        <w:t xml:space="preserve"> </w:t>
      </w:r>
      <w:hyperlink r:id="rId30" w:history="1">
        <w:r w:rsidRPr="009C7F84">
          <w:rPr>
            <w:rStyle w:val="Hyperlink"/>
            <w:rFonts w:ascii="Cambria" w:hAnsi="Cambria"/>
            <w:noProof/>
          </w:rPr>
          <w:t>http://robwall.ca/2009/03/10/creativity-is-the-new-technology/</w:t>
        </w:r>
      </w:hyperlink>
      <w:r w:rsidRPr="009C7F84">
        <w:rPr>
          <w:rFonts w:ascii="Cambria" w:hAnsi="Cambria"/>
          <w:noProof/>
        </w:rPr>
        <w:t>.</w:t>
      </w:r>
      <w:bookmarkEnd w:id="34"/>
    </w:p>
    <w:p w:rsidR="009C7F84" w:rsidRPr="009C7F84" w:rsidRDefault="009C7F84" w:rsidP="009C7F84">
      <w:pPr>
        <w:ind w:left="720" w:hanging="720"/>
        <w:rPr>
          <w:rFonts w:ascii="Cambria" w:hAnsi="Cambria"/>
          <w:noProof/>
        </w:rPr>
      </w:pPr>
      <w:bookmarkStart w:id="35" w:name="_ENREF_35"/>
      <w:r w:rsidRPr="009C7F84">
        <w:rPr>
          <w:rFonts w:ascii="Cambria" w:hAnsi="Cambria"/>
          <w:noProof/>
        </w:rPr>
        <w:t xml:space="preserve">Warschauer, M. (2004). </w:t>
      </w:r>
      <w:r w:rsidRPr="009C7F84">
        <w:rPr>
          <w:rFonts w:ascii="Cambria" w:hAnsi="Cambria"/>
          <w:noProof/>
          <w:u w:val="single"/>
        </w:rPr>
        <w:t>Technology and social inclusion: Rethinking the digital divide</w:t>
      </w:r>
      <w:r w:rsidRPr="009C7F84">
        <w:rPr>
          <w:rFonts w:ascii="Cambria" w:hAnsi="Cambria"/>
          <w:noProof/>
        </w:rPr>
        <w:t>, the MIT Press.</w:t>
      </w:r>
      <w:bookmarkEnd w:id="35"/>
    </w:p>
    <w:p w:rsidR="009C7F84" w:rsidRPr="009C7F84" w:rsidRDefault="009C7F84" w:rsidP="009C7F84">
      <w:pPr>
        <w:ind w:left="720" w:hanging="720"/>
        <w:rPr>
          <w:rFonts w:ascii="Cambria" w:hAnsi="Cambria"/>
          <w:noProof/>
        </w:rPr>
      </w:pPr>
      <w:bookmarkStart w:id="36" w:name="_ENREF_36"/>
      <w:r w:rsidRPr="009C7F84">
        <w:rPr>
          <w:rFonts w:ascii="Cambria" w:hAnsi="Cambria"/>
          <w:noProof/>
        </w:rPr>
        <w:t xml:space="preserve">Weller, M. (2011). </w:t>
      </w:r>
      <w:r w:rsidRPr="009C7F84">
        <w:rPr>
          <w:rFonts w:ascii="Cambria" w:hAnsi="Cambria"/>
          <w:noProof/>
          <w:u w:val="single"/>
        </w:rPr>
        <w:t>The digital scholar - how technology is changing academic practice</w:t>
      </w:r>
      <w:r w:rsidRPr="009C7F84">
        <w:rPr>
          <w:rFonts w:ascii="Cambria" w:hAnsi="Cambria"/>
          <w:noProof/>
        </w:rPr>
        <w:t>. London, Bloomsbury Academic.</w:t>
      </w:r>
      <w:bookmarkEnd w:id="36"/>
    </w:p>
    <w:p w:rsidR="009C7F84" w:rsidRPr="009C7F84" w:rsidRDefault="009C7F84" w:rsidP="009C7F84">
      <w:pPr>
        <w:ind w:left="720" w:hanging="720"/>
        <w:rPr>
          <w:rFonts w:ascii="Cambria" w:hAnsi="Cambria"/>
          <w:noProof/>
        </w:rPr>
      </w:pPr>
      <w:bookmarkStart w:id="37" w:name="_ENREF_37"/>
      <w:r w:rsidRPr="009C7F84">
        <w:rPr>
          <w:rFonts w:ascii="Cambria" w:hAnsi="Cambria"/>
          <w:noProof/>
        </w:rPr>
        <w:t xml:space="preserve">Wenger, E. (1998). </w:t>
      </w:r>
      <w:r w:rsidRPr="009C7F84">
        <w:rPr>
          <w:rFonts w:ascii="Cambria" w:hAnsi="Cambria"/>
          <w:noProof/>
          <w:u w:val="single"/>
        </w:rPr>
        <w:t>Communities of Practice. Learning, Meaning and Identity. Learning in Doing: Social, Cognitive, and Computational Perspectives</w:t>
      </w:r>
      <w:r w:rsidRPr="009C7F84">
        <w:rPr>
          <w:rFonts w:ascii="Cambria" w:hAnsi="Cambria"/>
          <w:noProof/>
        </w:rPr>
        <w:t>, Cambridge University Press, Cambridge.</w:t>
      </w:r>
      <w:bookmarkEnd w:id="37"/>
    </w:p>
    <w:p w:rsidR="009C7F84" w:rsidRDefault="009C7F84" w:rsidP="009C7F84">
      <w:pPr>
        <w:rPr>
          <w:rFonts w:ascii="Cambria" w:hAnsi="Cambria"/>
          <w:noProof/>
        </w:rPr>
      </w:pPr>
    </w:p>
    <w:p w:rsidR="00495A45" w:rsidRPr="004B4816" w:rsidRDefault="004B4816" w:rsidP="004B4816">
      <w:r>
        <w:fldChar w:fldCharType="end"/>
      </w:r>
    </w:p>
    <w:sectPr w:rsidR="00495A45" w:rsidRPr="004B4816" w:rsidSect="00495A45">
      <w:footerReference w:type="even" r:id="rId31"/>
      <w:footerReference w:type="default" r:id="rId32"/>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400" w:rsidRDefault="00CA5400">
      <w:r>
        <w:separator/>
      </w:r>
    </w:p>
  </w:endnote>
  <w:endnote w:type="continuationSeparator" w:id="0">
    <w:p w:rsidR="00CA5400" w:rsidRDefault="00CA5400">
      <w:r>
        <w:continuationSeparator/>
      </w:r>
    </w:p>
  </w:endnote>
  <w:endnote w:id="1">
    <w:p w:rsidR="00BD080C" w:rsidRPr="00214010" w:rsidRDefault="00BD080C" w:rsidP="00D379D4">
      <w:pPr>
        <w:rPr>
          <w:lang w:val="en-US"/>
        </w:rPr>
      </w:pPr>
      <w:r w:rsidRPr="00AD5FBE">
        <w:rPr>
          <w:rStyle w:val="EndnoteReference"/>
          <w:rFonts w:ascii="Times New Roman" w:hAnsi="Times New Roman"/>
        </w:rPr>
        <w:endnoteRef/>
      </w:r>
      <w:r>
        <w:rPr>
          <w:rFonts w:ascii="Times New Roman" w:hAnsi="Times New Roman"/>
        </w:rPr>
        <w:t xml:space="preserve"> </w:t>
      </w:r>
      <w:r w:rsidRPr="00DD7298">
        <w:rPr>
          <w:rFonts w:ascii="Times New Roman" w:hAnsi="Times New Roman"/>
          <w:szCs w:val="20"/>
        </w:rPr>
        <w:t>www.icde.org/en/resources/open_educational_quality_inititiative/definition_of_open_educational_practices</w:t>
      </w:r>
    </w:p>
  </w:endnote>
  <w:endnote w:id="2">
    <w:p w:rsidR="00BD080C" w:rsidRPr="00214010" w:rsidRDefault="00BD080C" w:rsidP="00D379D4">
      <w:pPr>
        <w:pStyle w:val="EndnoteText"/>
        <w:rPr>
          <w:rFonts w:ascii="Times New Roman" w:hAnsi="Times New Roman"/>
          <w:lang w:val="en-US"/>
        </w:rPr>
      </w:pPr>
      <w:r w:rsidRPr="00AD5FBE">
        <w:rPr>
          <w:rStyle w:val="EndnoteReference"/>
          <w:rFonts w:ascii="Times New Roman" w:eastAsia="Cambria" w:hAnsi="Times New Roman" w:cs="Times New Roman"/>
          <w:sz w:val="20"/>
        </w:rPr>
        <w:endnoteRef/>
      </w:r>
      <w:r w:rsidRPr="00AD5FBE">
        <w:rPr>
          <w:rStyle w:val="EndnoteReference"/>
          <w:rFonts w:ascii="Times New Roman" w:eastAsia="Cambria" w:hAnsi="Times New Roman" w:cs="Times New Roman"/>
          <w:sz w:val="20"/>
        </w:rPr>
        <w:t xml:space="preserve"> </w:t>
      </w:r>
      <w:r w:rsidRPr="00AD5FBE">
        <w:rPr>
          <w:rFonts w:ascii="Times New Roman" w:hAnsi="Times New Roman" w:cstheme="minorHAnsi"/>
          <w:sz w:val="22"/>
          <w:szCs w:val="22"/>
        </w:rPr>
        <w:t>www.oer-quality.org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ヒラギノ角ゴ Pro W3">
    <w:altName w:val="ヒラギノ角ゴ Pro W3"/>
    <w:charset w:val="4E"/>
    <w:family w:val="auto"/>
    <w:pitch w:val="variable"/>
    <w:sig w:usb0="00000001"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80C" w:rsidRDefault="00BD080C" w:rsidP="00495A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080C" w:rsidRDefault="00BD080C" w:rsidP="005A23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80C" w:rsidRDefault="00BD080C" w:rsidP="00495A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C21">
      <w:rPr>
        <w:rStyle w:val="PageNumber"/>
        <w:noProof/>
      </w:rPr>
      <w:t>5</w:t>
    </w:r>
    <w:r>
      <w:rPr>
        <w:rStyle w:val="PageNumber"/>
      </w:rPr>
      <w:fldChar w:fldCharType="end"/>
    </w:r>
  </w:p>
  <w:p w:rsidR="00BD080C" w:rsidRDefault="00BD080C" w:rsidP="005A23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400" w:rsidRDefault="00CA5400">
      <w:r>
        <w:separator/>
      </w:r>
    </w:p>
  </w:footnote>
  <w:footnote w:type="continuationSeparator" w:id="0">
    <w:p w:rsidR="00CA5400" w:rsidRDefault="00CA5400">
      <w:r>
        <w:continuationSeparator/>
      </w:r>
    </w:p>
  </w:footnote>
  <w:footnote w:id="1">
    <w:p w:rsidR="009C7F84" w:rsidRPr="00326BE1" w:rsidRDefault="009C7F84" w:rsidP="009C7F84">
      <w:pPr>
        <w:pStyle w:val="FootnoteText"/>
        <w:rPr>
          <w:sz w:val="20"/>
        </w:rPr>
      </w:pPr>
      <w:r w:rsidRPr="00326BE1">
        <w:rPr>
          <w:rStyle w:val="FootnoteReference"/>
          <w:sz w:val="20"/>
        </w:rPr>
        <w:footnoteRef/>
      </w:r>
      <w:r w:rsidRPr="00326BE1">
        <w:rPr>
          <w:sz w:val="20"/>
        </w:rPr>
        <w:t xml:space="preserve"> http://e4innovation.com</w:t>
      </w:r>
    </w:p>
  </w:footnote>
  <w:footnote w:id="2">
    <w:p w:rsidR="00BD080C" w:rsidRDefault="00BD080C" w:rsidP="00495A45">
      <w:pPr>
        <w:pStyle w:val="FootnoteTextC"/>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youtube.com</w:t>
      </w:r>
    </w:p>
  </w:footnote>
  <w:footnote w:id="3">
    <w:p w:rsidR="00BD080C" w:rsidRDefault="00BD080C" w:rsidP="00495A45">
      <w:pPr>
        <w:pStyle w:val="FootnoteTextC"/>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1" w:history="1">
        <w:r>
          <w:rPr>
            <w:rFonts w:ascii="Times New Roman" w:hAnsi="Times New Roman"/>
            <w:color w:val="001381"/>
            <w:u w:val="single"/>
          </w:rPr>
          <w:t>http://www.flickr.com/</w:t>
        </w:r>
      </w:hyperlink>
    </w:p>
  </w:footnote>
  <w:footnote w:id="4">
    <w:p w:rsidR="00BD080C" w:rsidRDefault="00BD080C" w:rsidP="00495A45">
      <w:pPr>
        <w:pStyle w:val="FootnoteTextC"/>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2" w:history="1">
        <w:r>
          <w:rPr>
            <w:rFonts w:ascii="Times New Roman" w:hAnsi="Times New Roman"/>
            <w:color w:val="001381"/>
            <w:u w:val="single"/>
          </w:rPr>
          <w:t>http://www.slideshare.net/</w:t>
        </w:r>
      </w:hyperlink>
    </w:p>
  </w:footnote>
  <w:footnote w:id="5">
    <w:p w:rsidR="00BD080C" w:rsidRDefault="00BD080C" w:rsidP="00D379D4">
      <w:pPr>
        <w:pStyle w:val="FootnoteText1"/>
        <w:rPr>
          <w:rFonts w:eastAsia="Times New Roman"/>
          <w:color w:val="auto"/>
          <w:sz w:val="20"/>
        </w:rPr>
      </w:pPr>
      <w:r>
        <w:rPr>
          <w:rStyle w:val="FootnoteReference1"/>
          <w:sz w:val="20"/>
        </w:rPr>
        <w:footnoteRef/>
      </w:r>
      <w:r>
        <w:rPr>
          <w:sz w:val="20"/>
        </w:rPr>
        <w:t xml:space="preserve"> Definition on the Hewlett Website, http://www.hewlett.org/Programs/Education/OER/</w:t>
      </w:r>
    </w:p>
  </w:footnote>
  <w:footnote w:id="6">
    <w:p w:rsidR="00BD080C" w:rsidRDefault="00BD080C" w:rsidP="00D379D4">
      <w:pPr>
        <w:pStyle w:val="FootnoteText1"/>
        <w:rPr>
          <w:rFonts w:eastAsia="Times New Roman"/>
          <w:color w:val="auto"/>
          <w:sz w:val="20"/>
        </w:rPr>
      </w:pPr>
      <w:r>
        <w:rPr>
          <w:rStyle w:val="FootnoteReference1"/>
          <w:sz w:val="20"/>
        </w:rPr>
        <w:footnoteRef/>
      </w:r>
      <w:r>
        <w:rPr>
          <w:sz w:val="20"/>
        </w:rPr>
        <w:t xml:space="preserve"> http://www.capetowndeclaration.org/</w:t>
      </w:r>
    </w:p>
  </w:footnote>
  <w:footnote w:id="7">
    <w:p w:rsidR="00BD080C" w:rsidRDefault="00BD080C">
      <w:pPr>
        <w:pStyle w:val="FootnoteText"/>
      </w:pPr>
      <w:r>
        <w:rPr>
          <w:rStyle w:val="FootnoteReference"/>
        </w:rPr>
        <w:footnoteRef/>
      </w:r>
      <w:r>
        <w:t xml:space="preserve"> </w:t>
      </w:r>
      <w:r w:rsidRPr="00592BC0">
        <w:t>http://www.open.ac.uk/blogs/OULDI/</w:t>
      </w:r>
    </w:p>
  </w:footnote>
  <w:footnote w:id="8">
    <w:p w:rsidR="00BD080C" w:rsidRDefault="00BD080C">
      <w:pPr>
        <w:pStyle w:val="FootnoteText"/>
      </w:pPr>
      <w:r>
        <w:rPr>
          <w:rStyle w:val="FootnoteReference"/>
        </w:rPr>
        <w:footnoteRef/>
      </w:r>
      <w:r>
        <w:t xml:space="preserve"> http://linoit.com</w:t>
      </w:r>
    </w:p>
  </w:footnote>
  <w:footnote w:id="9">
    <w:p w:rsidR="00BD080C" w:rsidRDefault="00BD080C">
      <w:pPr>
        <w:pStyle w:val="FootnoteText"/>
      </w:pPr>
      <w:r>
        <w:rPr>
          <w:rStyle w:val="FootnoteReference"/>
        </w:rPr>
        <w:footnoteRef/>
      </w:r>
      <w:r>
        <w:t xml:space="preserve"> http://cloudworks.ac.uk</w:t>
      </w:r>
    </w:p>
  </w:footnote>
  <w:footnote w:id="10">
    <w:p w:rsidR="00BD080C" w:rsidRDefault="00BD080C">
      <w:pPr>
        <w:pStyle w:val="FootnoteText"/>
      </w:pPr>
      <w:r>
        <w:rPr>
          <w:rStyle w:val="FootnoteReference"/>
        </w:rPr>
        <w:footnoteRef/>
      </w:r>
      <w:r>
        <w:t xml:space="preserve"> http://</w:t>
      </w:r>
      <w:r w:rsidRPr="00AB6A2A">
        <w:t xml:space="preserve">www.tinyurl.com/ouldi-coursemap </w:t>
      </w:r>
    </w:p>
  </w:footnote>
  <w:footnote w:id="11">
    <w:p w:rsidR="00BD080C" w:rsidRDefault="00BD080C">
      <w:pPr>
        <w:pStyle w:val="FootnoteText"/>
      </w:pPr>
      <w:r>
        <w:rPr>
          <w:rStyle w:val="FootnoteReference"/>
        </w:rPr>
        <w:footnoteRef/>
      </w:r>
      <w:r>
        <w:t xml:space="preserve"> </w:t>
      </w:r>
      <w:r w:rsidRPr="006A034F">
        <w:t>http://cloudworks.ac.uk/cloud/view/2459</w:t>
      </w:r>
    </w:p>
  </w:footnote>
  <w:footnote w:id="12">
    <w:p w:rsidR="00BD080C" w:rsidRDefault="00BD080C">
      <w:pPr>
        <w:pStyle w:val="FootnoteText"/>
      </w:pPr>
      <w:r>
        <w:rPr>
          <w:rStyle w:val="FootnoteReference"/>
        </w:rPr>
        <w:footnoteRef/>
      </w:r>
      <w:r>
        <w:t xml:space="preserve"> </w:t>
      </w:r>
      <w:r w:rsidRPr="00A72EE2">
        <w:t>http://www.open.ac.uk/blogs/OULDI/</w:t>
      </w:r>
    </w:p>
  </w:footnote>
  <w:footnote w:id="13">
    <w:p w:rsidR="00BD080C" w:rsidRDefault="00BD080C">
      <w:pPr>
        <w:pStyle w:val="FootnoteText"/>
      </w:pPr>
      <w:r>
        <w:rPr>
          <w:rStyle w:val="FootnoteReference"/>
        </w:rPr>
        <w:footnoteRef/>
      </w:r>
      <w:r>
        <w:t xml:space="preserve"> </w:t>
      </w:r>
      <w:r w:rsidRPr="00A72EE2">
        <w:t>http://www2.le.ac.uk/projects/oer/oers/beyond-distance-research-alliance/7cs-workshop-resources</w:t>
      </w:r>
    </w:p>
  </w:footnote>
  <w:footnote w:id="14">
    <w:p w:rsidR="00BD080C" w:rsidRDefault="00BD080C" w:rsidP="00353FD4">
      <w:pPr>
        <w:pStyle w:val="FootnoteTextA"/>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3" w:history="1">
        <w:r>
          <w:rPr>
            <w:rFonts w:ascii="Times New Roman" w:hAnsi="Times New Roman"/>
            <w:color w:val="0A0A0B"/>
            <w:u w:val="single"/>
          </w:rPr>
          <w:t>http://ocw.mit.edu/index.htm</w:t>
        </w:r>
      </w:hyperlink>
    </w:p>
  </w:footnote>
  <w:footnote w:id="15">
    <w:p w:rsidR="00BD080C" w:rsidRDefault="00BD080C" w:rsidP="00353FD4">
      <w:pPr>
        <w:pStyle w:val="FootnoteTextA"/>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4" w:history="1">
        <w:r>
          <w:rPr>
            <w:rFonts w:ascii="Times New Roman" w:hAnsi="Times New Roman"/>
            <w:color w:val="0A0A0B"/>
            <w:u w:val="single"/>
          </w:rPr>
          <w:t>http://openlearn.open.ac.uk</w:t>
        </w:r>
      </w:hyperlink>
    </w:p>
  </w:footnote>
  <w:footnote w:id="16">
    <w:p w:rsidR="00BD080C" w:rsidRDefault="00BD080C" w:rsidP="00EA4BAD">
      <w:pPr>
        <w:pStyle w:val="FootnoteText1"/>
        <w:rPr>
          <w:rFonts w:eastAsia="Times New Roman"/>
          <w:color w:val="auto"/>
          <w:sz w:val="20"/>
        </w:rPr>
      </w:pPr>
      <w:r>
        <w:rPr>
          <w:rStyle w:val="FootnoteReference1"/>
          <w:sz w:val="22"/>
        </w:rPr>
        <w:footnoteRef/>
      </w:r>
      <w:r>
        <w:rPr>
          <w:sz w:val="22"/>
        </w:rPr>
        <w:t xml:space="preserve"> </w:t>
      </w:r>
      <w:hyperlink r:id="rId5" w:history="1">
        <w:r>
          <w:rPr>
            <w:color w:val="0A0A0A"/>
            <w:sz w:val="22"/>
            <w:u w:val="single"/>
          </w:rPr>
          <w:t>http://www.eprints.org</w:t>
        </w:r>
      </w:hyperlink>
      <w:r>
        <w:rPr>
          <w:sz w:val="22"/>
        </w:rPr>
        <w:t>/</w:t>
      </w:r>
    </w:p>
  </w:footnote>
  <w:footnote w:id="17">
    <w:p w:rsidR="00BD080C" w:rsidRPr="00EC7BCE" w:rsidRDefault="00BD080C" w:rsidP="00BD080C">
      <w:pPr>
        <w:pStyle w:val="FootnoteText"/>
        <w:rPr>
          <w:sz w:val="20"/>
        </w:rPr>
      </w:pPr>
      <w:r w:rsidRPr="00EC7BCE">
        <w:rPr>
          <w:rStyle w:val="FootnoteReference"/>
          <w:sz w:val="20"/>
        </w:rPr>
        <w:footnoteRef/>
      </w:r>
      <w:r w:rsidRPr="00EC7BCE">
        <w:rPr>
          <w:sz w:val="20"/>
        </w:rPr>
        <w:t xml:space="preserve"> </w:t>
      </w:r>
      <w:r w:rsidRPr="00EC7BCE">
        <w:rPr>
          <w:rFonts w:ascii="Lucida Grande" w:hAnsi="Lucida Grande"/>
          <w:color w:val="000000"/>
          <w:sz w:val="20"/>
        </w:rPr>
        <w:t>http://www.youtube.com/watch?v=0eUeL3n7fDs</w:t>
      </w:r>
    </w:p>
  </w:footnote>
  <w:footnote w:id="18">
    <w:p w:rsidR="00BD080C" w:rsidRPr="00C42DBE" w:rsidRDefault="00BD080C" w:rsidP="00BD080C">
      <w:pPr>
        <w:pStyle w:val="FootnoteText"/>
        <w:rPr>
          <w:sz w:val="20"/>
        </w:rPr>
      </w:pPr>
      <w:r w:rsidRPr="00C42DBE">
        <w:rPr>
          <w:rStyle w:val="FootnoteReference"/>
          <w:sz w:val="20"/>
        </w:rPr>
        <w:footnoteRef/>
      </w:r>
      <w:r w:rsidRPr="00C42DBE">
        <w:rPr>
          <w:sz w:val="20"/>
        </w:rPr>
        <w:t xml:space="preserve"> http://www2.le.ac.uk/projects/swift/</w:t>
      </w:r>
    </w:p>
    <w:p w:rsidR="00BD080C" w:rsidRDefault="00BD080C" w:rsidP="00BD080C">
      <w:pPr>
        <w:pStyle w:val="FootnoteText"/>
      </w:pPr>
    </w:p>
  </w:footnote>
  <w:footnote w:id="19">
    <w:p w:rsidR="00BD080C" w:rsidRDefault="00BD080C" w:rsidP="00BD080C">
      <w:pPr>
        <w:pStyle w:val="FootnoteTextAA"/>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6" w:history="1">
        <w:r>
          <w:rPr>
            <w:rFonts w:ascii="Times New Roman" w:hAnsi="Times New Roman"/>
            <w:color w:val="0A0A0A"/>
            <w:u w:val="single"/>
          </w:rPr>
          <w:t>http://ispot.org.uk</w:t>
        </w:r>
      </w:hyperlink>
    </w:p>
  </w:footnote>
  <w:footnote w:id="20">
    <w:p w:rsidR="00BD080C" w:rsidRDefault="00BD080C" w:rsidP="00BD080C">
      <w:pPr>
        <w:pStyle w:val="FootnoteTextD"/>
        <w:rPr>
          <w:rFonts w:ascii="Times New Roman" w:eastAsia="Times New Roman" w:hAnsi="Times New Roman"/>
          <w:color w:val="auto"/>
          <w:lang w:val="en-GB"/>
        </w:rPr>
      </w:pPr>
      <w:r>
        <w:rPr>
          <w:rFonts w:ascii="Times New Roman" w:hAnsi="Times New Roman"/>
          <w:vertAlign w:val="superscript"/>
        </w:rPr>
        <w:footnoteRef/>
      </w:r>
      <w:r>
        <w:rPr>
          <w:rFonts w:ascii="Times New Roman" w:hAnsi="Times New Roman"/>
        </w:rPr>
        <w:t xml:space="preserve"> </w:t>
      </w:r>
      <w:hyperlink r:id="rId7" w:history="1">
        <w:r>
          <w:rPr>
            <w:rFonts w:ascii="Times New Roman" w:hAnsi="Times New Roman"/>
            <w:color w:val="05133E"/>
            <w:u w:val="single"/>
          </w:rPr>
          <w:t>http://www.galaxyzoo.org/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start w:val="1"/>
      <w:numFmt w:val="bullet"/>
      <w:lvlText w:val="•"/>
      <w:lvlJc w:val="left"/>
      <w:pPr>
        <w:tabs>
          <w:tab w:val="num" w:pos="425"/>
        </w:tabs>
        <w:ind w:left="425" w:firstLine="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
    <w:nsid w:val="00000007"/>
    <w:multiLevelType w:val="multilevel"/>
    <w:tmpl w:val="894EE879"/>
    <w:lvl w:ilvl="0">
      <w:start w:val="1"/>
      <w:numFmt w:val="bullet"/>
      <w:lvlText w:val="•"/>
      <w:lvlJc w:val="left"/>
      <w:pPr>
        <w:tabs>
          <w:tab w:val="num" w:pos="426"/>
        </w:tabs>
        <w:ind w:left="426" w:firstLine="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2">
    <w:nsid w:val="1CAA4D3E"/>
    <w:multiLevelType w:val="hybridMultilevel"/>
    <w:tmpl w:val="F060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A4CB3"/>
    <w:multiLevelType w:val="multilevel"/>
    <w:tmpl w:val="55901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91D92"/>
    <w:multiLevelType w:val="hybridMultilevel"/>
    <w:tmpl w:val="238AD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314550"/>
    <w:multiLevelType w:val="multilevel"/>
    <w:tmpl w:val="A15E03E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
    <w:nsid w:val="410E6959"/>
    <w:multiLevelType w:val="hybridMultilevel"/>
    <w:tmpl w:val="9FA4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AA7951"/>
    <w:multiLevelType w:val="hybridMultilevel"/>
    <w:tmpl w:val="B78E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2E59A2"/>
    <w:multiLevelType w:val="multilevel"/>
    <w:tmpl w:val="E3C830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B54848"/>
    <w:multiLevelType w:val="hybridMultilevel"/>
    <w:tmpl w:val="6E869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A7763A"/>
    <w:multiLevelType w:val="hybridMultilevel"/>
    <w:tmpl w:val="AF5C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4411D5"/>
    <w:multiLevelType w:val="hybridMultilevel"/>
    <w:tmpl w:val="945C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363C5F"/>
    <w:multiLevelType w:val="multilevel"/>
    <w:tmpl w:val="A15E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0"/>
  </w:num>
  <w:num w:numId="3">
    <w:abstractNumId w:val="9"/>
  </w:num>
  <w:num w:numId="4">
    <w:abstractNumId w:val="8"/>
  </w:num>
  <w:num w:numId="5">
    <w:abstractNumId w:val="0"/>
  </w:num>
  <w:num w:numId="6">
    <w:abstractNumId w:val="3"/>
  </w:num>
  <w:num w:numId="7">
    <w:abstractNumId w:val="7"/>
  </w:num>
  <w:num w:numId="8">
    <w:abstractNumId w:val="12"/>
  </w:num>
  <w:num w:numId="9">
    <w:abstractNumId w:val="5"/>
  </w:num>
  <w:num w:numId="10">
    <w:abstractNumId w:val="1"/>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errrtwrme9dt5e5fpyv5pta2fzsx5vrd0zz&quot;&gt;Grainne_endnote Copy&lt;record-ids&gt;&lt;item&gt;20&lt;/item&gt;&lt;item&gt;23&lt;/item&gt;&lt;item&gt;24&lt;/item&gt;&lt;item&gt;25&lt;/item&gt;&lt;item&gt;52&lt;/item&gt;&lt;item&gt;73&lt;/item&gt;&lt;item&gt;101&lt;/item&gt;&lt;item&gt;198&lt;/item&gt;&lt;item&gt;221&lt;/item&gt;&lt;item&gt;245&lt;/item&gt;&lt;item&gt;249&lt;/item&gt;&lt;item&gt;290&lt;/item&gt;&lt;item&gt;300&lt;/item&gt;&lt;item&gt;319&lt;/item&gt;&lt;item&gt;332&lt;/item&gt;&lt;item&gt;499&lt;/item&gt;&lt;item&gt;500&lt;/item&gt;&lt;item&gt;501&lt;/item&gt;&lt;item&gt;502&lt;/item&gt;&lt;item&gt;503&lt;/item&gt;&lt;item&gt;504&lt;/item&gt;&lt;item&gt;506&lt;/item&gt;&lt;item&gt;507&lt;/item&gt;&lt;item&gt;508&lt;/item&gt;&lt;item&gt;509&lt;/item&gt;&lt;item&gt;561&lt;/item&gt;&lt;item&gt;577&lt;/item&gt;&lt;item&gt;585&lt;/item&gt;&lt;item&gt;607&lt;/item&gt;&lt;item&gt;608&lt;/item&gt;&lt;item&gt;609&lt;/item&gt;&lt;item&gt;610&lt;/item&gt;&lt;item&gt;611&lt;/item&gt;&lt;item&gt;612&lt;/item&gt;&lt;item&gt;615&lt;/item&gt;&lt;item&gt;616&lt;/item&gt;&lt;item&gt;617&lt;/item&gt;&lt;/record-ids&gt;&lt;/item&gt;&lt;/Libraries&gt;"/>
  </w:docVars>
  <w:rsids>
    <w:rsidRoot w:val="00410A90"/>
    <w:rsid w:val="0000291D"/>
    <w:rsid w:val="0004563D"/>
    <w:rsid w:val="0006635A"/>
    <w:rsid w:val="00084514"/>
    <w:rsid w:val="00132C5F"/>
    <w:rsid w:val="00156EB3"/>
    <w:rsid w:val="001E656D"/>
    <w:rsid w:val="00210051"/>
    <w:rsid w:val="0021376C"/>
    <w:rsid w:val="00230D50"/>
    <w:rsid w:val="0032473D"/>
    <w:rsid w:val="00346AF0"/>
    <w:rsid w:val="00353FD4"/>
    <w:rsid w:val="003A4578"/>
    <w:rsid w:val="003E580C"/>
    <w:rsid w:val="00410A90"/>
    <w:rsid w:val="004866CA"/>
    <w:rsid w:val="00487E38"/>
    <w:rsid w:val="00495A45"/>
    <w:rsid w:val="004B4816"/>
    <w:rsid w:val="005573C7"/>
    <w:rsid w:val="00592BC0"/>
    <w:rsid w:val="005A23D7"/>
    <w:rsid w:val="00650848"/>
    <w:rsid w:val="00675050"/>
    <w:rsid w:val="006923F8"/>
    <w:rsid w:val="006A034F"/>
    <w:rsid w:val="006B3F64"/>
    <w:rsid w:val="00775DAC"/>
    <w:rsid w:val="007E4C8D"/>
    <w:rsid w:val="0089503C"/>
    <w:rsid w:val="008B7F9A"/>
    <w:rsid w:val="0095611C"/>
    <w:rsid w:val="00964911"/>
    <w:rsid w:val="0097526B"/>
    <w:rsid w:val="00997D84"/>
    <w:rsid w:val="009A04CB"/>
    <w:rsid w:val="009C15CF"/>
    <w:rsid w:val="009C7F84"/>
    <w:rsid w:val="00A46336"/>
    <w:rsid w:val="00A72EE2"/>
    <w:rsid w:val="00AB6A2A"/>
    <w:rsid w:val="00AC0C75"/>
    <w:rsid w:val="00B85D0D"/>
    <w:rsid w:val="00B96A84"/>
    <w:rsid w:val="00BD080C"/>
    <w:rsid w:val="00C10B87"/>
    <w:rsid w:val="00CA4EB1"/>
    <w:rsid w:val="00CA5400"/>
    <w:rsid w:val="00CB0704"/>
    <w:rsid w:val="00CC7C21"/>
    <w:rsid w:val="00CE7E36"/>
    <w:rsid w:val="00CF5E93"/>
    <w:rsid w:val="00D379D4"/>
    <w:rsid w:val="00D727C8"/>
    <w:rsid w:val="00E24504"/>
    <w:rsid w:val="00E449B3"/>
    <w:rsid w:val="00EA4BAD"/>
    <w:rsid w:val="00EF6DEA"/>
    <w:rsid w:val="00F81F2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footnote text" w:uiPriority="99"/>
    <w:lsdException w:name="footer" w:uiPriority="99"/>
    <w:lsdException w:name="page number" w:uiPriority="99"/>
    <w:lsdException w:name="Hyperlink" w:uiPriority="99"/>
    <w:lsdException w:name="Strong" w:uiPriority="22"/>
    <w:lsdException w:name="Balloon Text" w:uiPriority="99"/>
    <w:lsdException w:name="List Paragraph" w:uiPriority="34" w:qFormat="1"/>
  </w:latentStyles>
  <w:style w:type="paragraph" w:default="1" w:styleId="Normal">
    <w:name w:val="Normal"/>
    <w:qFormat/>
    <w:rsid w:val="00A67AA0"/>
    <w:rPr>
      <w:lang w:val="en-GB"/>
    </w:rPr>
  </w:style>
  <w:style w:type="paragraph" w:styleId="Heading1">
    <w:name w:val="heading 1"/>
    <w:basedOn w:val="Normal"/>
    <w:next w:val="Normal"/>
    <w:link w:val="Heading1Char"/>
    <w:uiPriority w:val="9"/>
    <w:qFormat/>
    <w:rsid w:val="00410A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79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79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A90"/>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D379D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D379D4"/>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semiHidden/>
    <w:unhideWhenUsed/>
    <w:rsid w:val="00410A90"/>
    <w:rPr>
      <w:color w:val="0000FF" w:themeColor="hyperlink"/>
      <w:u w:val="single"/>
    </w:rPr>
  </w:style>
  <w:style w:type="character" w:styleId="EndnoteReference">
    <w:name w:val="endnote reference"/>
    <w:basedOn w:val="DefaultParagraphFont"/>
    <w:rsid w:val="00675050"/>
    <w:rPr>
      <w:vertAlign w:val="superscript"/>
    </w:rPr>
  </w:style>
  <w:style w:type="paragraph" w:styleId="ListParagraph">
    <w:name w:val="List Paragraph"/>
    <w:basedOn w:val="Normal"/>
    <w:uiPriority w:val="34"/>
    <w:qFormat/>
    <w:rsid w:val="00C10B87"/>
    <w:pPr>
      <w:spacing w:after="200" w:line="276" w:lineRule="auto"/>
      <w:ind w:left="720"/>
      <w:contextualSpacing/>
    </w:pPr>
    <w:rPr>
      <w:sz w:val="22"/>
      <w:szCs w:val="22"/>
    </w:rPr>
  </w:style>
  <w:style w:type="character" w:styleId="CommentReference">
    <w:name w:val="annotation reference"/>
    <w:basedOn w:val="DefaultParagraphFont"/>
    <w:rsid w:val="00C10B87"/>
    <w:rPr>
      <w:sz w:val="18"/>
      <w:szCs w:val="18"/>
    </w:rPr>
  </w:style>
  <w:style w:type="paragraph" w:styleId="CommentText">
    <w:name w:val="annotation text"/>
    <w:basedOn w:val="Normal"/>
    <w:link w:val="CommentTextChar"/>
    <w:rsid w:val="00C10B87"/>
    <w:pPr>
      <w:spacing w:after="200"/>
    </w:pPr>
  </w:style>
  <w:style w:type="character" w:customStyle="1" w:styleId="CommentTextChar">
    <w:name w:val="Comment Text Char"/>
    <w:basedOn w:val="DefaultParagraphFont"/>
    <w:link w:val="CommentText"/>
    <w:rsid w:val="00C10B87"/>
    <w:rPr>
      <w:lang w:val="en-GB"/>
    </w:rPr>
  </w:style>
  <w:style w:type="paragraph" w:styleId="BalloonText">
    <w:name w:val="Balloon Text"/>
    <w:basedOn w:val="Normal"/>
    <w:link w:val="BalloonTextChar"/>
    <w:uiPriority w:val="99"/>
    <w:semiHidden/>
    <w:unhideWhenUsed/>
    <w:rsid w:val="00C10B87"/>
    <w:rPr>
      <w:rFonts w:ascii="Lucida Grande" w:hAnsi="Lucida Grande"/>
      <w:sz w:val="18"/>
      <w:szCs w:val="18"/>
    </w:rPr>
  </w:style>
  <w:style w:type="character" w:customStyle="1" w:styleId="BalloonTextChar">
    <w:name w:val="Balloon Text Char"/>
    <w:basedOn w:val="DefaultParagraphFont"/>
    <w:link w:val="BalloonText"/>
    <w:uiPriority w:val="99"/>
    <w:semiHidden/>
    <w:rsid w:val="00C10B87"/>
    <w:rPr>
      <w:rFonts w:ascii="Lucida Grande" w:hAnsi="Lucida Grande"/>
      <w:sz w:val="18"/>
      <w:szCs w:val="18"/>
      <w:lang w:val="en-GB"/>
    </w:rPr>
  </w:style>
  <w:style w:type="paragraph" w:styleId="Footer">
    <w:name w:val="footer"/>
    <w:basedOn w:val="Normal"/>
    <w:link w:val="FooterChar"/>
    <w:uiPriority w:val="99"/>
    <w:semiHidden/>
    <w:unhideWhenUsed/>
    <w:rsid w:val="005A23D7"/>
    <w:pPr>
      <w:tabs>
        <w:tab w:val="center" w:pos="4320"/>
        <w:tab w:val="right" w:pos="8640"/>
      </w:tabs>
    </w:pPr>
  </w:style>
  <w:style w:type="character" w:customStyle="1" w:styleId="FooterChar">
    <w:name w:val="Footer Char"/>
    <w:basedOn w:val="DefaultParagraphFont"/>
    <w:link w:val="Footer"/>
    <w:uiPriority w:val="99"/>
    <w:semiHidden/>
    <w:rsid w:val="005A23D7"/>
    <w:rPr>
      <w:lang w:val="en-GB"/>
    </w:rPr>
  </w:style>
  <w:style w:type="character" w:styleId="PageNumber">
    <w:name w:val="page number"/>
    <w:basedOn w:val="DefaultParagraphFont"/>
    <w:uiPriority w:val="99"/>
    <w:semiHidden/>
    <w:unhideWhenUsed/>
    <w:rsid w:val="005A23D7"/>
  </w:style>
  <w:style w:type="paragraph" w:styleId="EndnoteText">
    <w:name w:val="endnote text"/>
    <w:basedOn w:val="Normal"/>
    <w:link w:val="EndnoteTextChar"/>
    <w:rsid w:val="005A23D7"/>
  </w:style>
  <w:style w:type="character" w:customStyle="1" w:styleId="EndnoteTextChar">
    <w:name w:val="Endnote Text Char"/>
    <w:basedOn w:val="DefaultParagraphFont"/>
    <w:link w:val="EndnoteText"/>
    <w:rsid w:val="005A23D7"/>
    <w:rPr>
      <w:lang w:val="en-GB"/>
    </w:rPr>
  </w:style>
  <w:style w:type="paragraph" w:styleId="Caption">
    <w:name w:val="caption"/>
    <w:basedOn w:val="Normal"/>
    <w:next w:val="Normal"/>
    <w:uiPriority w:val="35"/>
    <w:unhideWhenUsed/>
    <w:qFormat/>
    <w:rsid w:val="005573C7"/>
    <w:pPr>
      <w:spacing w:after="200"/>
    </w:pPr>
    <w:rPr>
      <w:b/>
      <w:bCs/>
      <w:color w:val="4F81BD" w:themeColor="accent1"/>
      <w:sz w:val="18"/>
      <w:szCs w:val="18"/>
    </w:rPr>
  </w:style>
  <w:style w:type="character" w:customStyle="1" w:styleId="FootnoteReference1">
    <w:name w:val="Footnote Reference1"/>
    <w:rsid w:val="005573C7"/>
    <w:rPr>
      <w:color w:val="000000"/>
      <w:sz w:val="24"/>
      <w:vertAlign w:val="superscript"/>
    </w:rPr>
  </w:style>
  <w:style w:type="paragraph" w:customStyle="1" w:styleId="FootnoteText1">
    <w:name w:val="Footnote Text1"/>
    <w:rsid w:val="005573C7"/>
    <w:rPr>
      <w:rFonts w:ascii="Times New Roman" w:eastAsia="ヒラギノ角ゴ Pro W3" w:hAnsi="Times New Roman" w:cs="Times New Roman"/>
      <w:color w:val="000000"/>
      <w:szCs w:val="20"/>
      <w:lang w:val="en-GB"/>
    </w:rPr>
  </w:style>
  <w:style w:type="paragraph" w:styleId="BodyText">
    <w:name w:val="Body Text"/>
    <w:link w:val="BodyTextChar"/>
    <w:rsid w:val="005573C7"/>
    <w:pPr>
      <w:spacing w:after="220"/>
      <w:jc w:val="both"/>
    </w:pPr>
    <w:rPr>
      <w:rFonts w:ascii="Arial Narrow" w:eastAsia="ヒラギノ角ゴ Pro W3" w:hAnsi="Arial Narrow" w:cs="Times New Roman"/>
      <w:color w:val="000000"/>
      <w:sz w:val="22"/>
      <w:szCs w:val="20"/>
      <w:lang w:val="en-GB"/>
    </w:rPr>
  </w:style>
  <w:style w:type="character" w:customStyle="1" w:styleId="BodyTextChar">
    <w:name w:val="Body Text Char"/>
    <w:basedOn w:val="DefaultParagraphFont"/>
    <w:link w:val="BodyText"/>
    <w:rsid w:val="005573C7"/>
    <w:rPr>
      <w:rFonts w:ascii="Arial Narrow" w:eastAsia="ヒラギノ角ゴ Pro W3" w:hAnsi="Arial Narrow" w:cs="Times New Roman"/>
      <w:color w:val="000000"/>
      <w:sz w:val="22"/>
      <w:szCs w:val="20"/>
      <w:lang w:val="en-GB"/>
    </w:rPr>
  </w:style>
  <w:style w:type="paragraph" w:styleId="NormalWeb">
    <w:name w:val="Normal (Web)"/>
    <w:basedOn w:val="Normal"/>
    <w:rsid w:val="008B7F9A"/>
    <w:pPr>
      <w:spacing w:beforeLines="1" w:afterLines="1"/>
    </w:pPr>
    <w:rPr>
      <w:rFonts w:ascii="Times" w:hAnsi="Times" w:cs="Times New Roman"/>
      <w:sz w:val="20"/>
      <w:szCs w:val="20"/>
    </w:rPr>
  </w:style>
  <w:style w:type="character" w:customStyle="1" w:styleId="gti-matchgti-match-paragraphgti-match-paragraph-9">
    <w:name w:val="gti-match gti-match-paragraph gti-match-paragraph-9"/>
    <w:basedOn w:val="DefaultParagraphFont"/>
    <w:rsid w:val="008B7F9A"/>
  </w:style>
  <w:style w:type="character" w:customStyle="1" w:styleId="gti-matchgti-match-paragraphgti-match-paragraph-10">
    <w:name w:val="gti-match gti-match-paragraph gti-match-paragraph-10"/>
    <w:basedOn w:val="DefaultParagraphFont"/>
    <w:rsid w:val="008B7F9A"/>
  </w:style>
  <w:style w:type="character" w:customStyle="1" w:styleId="gti-matchgti-match-paragraphgti-match-paragraph-11">
    <w:name w:val="gti-match gti-match-paragraph gti-match-paragraph-11"/>
    <w:basedOn w:val="DefaultParagraphFont"/>
    <w:rsid w:val="008B7F9A"/>
  </w:style>
  <w:style w:type="character" w:customStyle="1" w:styleId="apple-converted-space">
    <w:name w:val="apple-converted-space"/>
    <w:basedOn w:val="DefaultParagraphFont"/>
    <w:rsid w:val="008B7F9A"/>
  </w:style>
  <w:style w:type="character" w:customStyle="1" w:styleId="google-translation-immersion-inner-word-wrap">
    <w:name w:val="google-translation-immersion-inner-word-wrap"/>
    <w:basedOn w:val="DefaultParagraphFont"/>
    <w:rsid w:val="008B7F9A"/>
  </w:style>
  <w:style w:type="character" w:customStyle="1" w:styleId="gti-matchgti-match-paragraphgti-match-paragraph-12">
    <w:name w:val="gti-match gti-match-paragraph gti-match-paragraph-12"/>
    <w:basedOn w:val="DefaultParagraphFont"/>
    <w:rsid w:val="008B7F9A"/>
  </w:style>
  <w:style w:type="character" w:customStyle="1" w:styleId="gti-matchgti-match-paragraphgti-match-paragraph-13">
    <w:name w:val="gti-match gti-match-paragraph gti-match-paragraph-13"/>
    <w:basedOn w:val="DefaultParagraphFont"/>
    <w:rsid w:val="008B7F9A"/>
  </w:style>
  <w:style w:type="paragraph" w:customStyle="1" w:styleId="FootnoteTextC">
    <w:name w:val="Footnote Text C"/>
    <w:rsid w:val="00495A45"/>
    <w:rPr>
      <w:rFonts w:ascii="Helvetica" w:eastAsia="ヒラギノ角ゴ Pro W3" w:hAnsi="Helvetica" w:cs="Times New Roman"/>
      <w:color w:val="000000"/>
      <w:sz w:val="20"/>
      <w:szCs w:val="20"/>
    </w:rPr>
  </w:style>
  <w:style w:type="paragraph" w:styleId="FootnoteText">
    <w:name w:val="footnote text"/>
    <w:basedOn w:val="Normal"/>
    <w:link w:val="FootnoteTextChar"/>
    <w:uiPriority w:val="99"/>
    <w:rsid w:val="00592BC0"/>
  </w:style>
  <w:style w:type="character" w:customStyle="1" w:styleId="FootnoteTextChar">
    <w:name w:val="Footnote Text Char"/>
    <w:basedOn w:val="DefaultParagraphFont"/>
    <w:link w:val="FootnoteText"/>
    <w:uiPriority w:val="99"/>
    <w:rsid w:val="00592BC0"/>
    <w:rPr>
      <w:lang w:val="en-GB"/>
    </w:rPr>
  </w:style>
  <w:style w:type="character" w:styleId="FootnoteReference">
    <w:name w:val="footnote reference"/>
    <w:basedOn w:val="DefaultParagraphFont"/>
    <w:rsid w:val="00592BC0"/>
    <w:rPr>
      <w:vertAlign w:val="superscript"/>
    </w:rPr>
  </w:style>
  <w:style w:type="character" w:customStyle="1" w:styleId="gti-matchgti-match-paragraphgti-match-paragraph-5">
    <w:name w:val="gti-match gti-match-paragraph gti-match-paragraph-5"/>
    <w:basedOn w:val="DefaultParagraphFont"/>
    <w:rsid w:val="0032473D"/>
  </w:style>
  <w:style w:type="character" w:customStyle="1" w:styleId="google-translation-immersion-original">
    <w:name w:val="google-translation-immersion-original"/>
    <w:basedOn w:val="DefaultParagraphFont"/>
    <w:rsid w:val="0032473D"/>
  </w:style>
  <w:style w:type="character" w:customStyle="1" w:styleId="gti-matchgti-match-paragraphgti-match-paragraph-6">
    <w:name w:val="gti-match gti-match-paragraph gti-match-paragraph-6"/>
    <w:basedOn w:val="DefaultParagraphFont"/>
    <w:rsid w:val="0032473D"/>
  </w:style>
  <w:style w:type="character" w:customStyle="1" w:styleId="gti-matchgti-match-paragraphgti-match-paragraph-7">
    <w:name w:val="gti-match gti-match-paragraph gti-match-paragraph-7"/>
    <w:basedOn w:val="DefaultParagraphFont"/>
    <w:rsid w:val="0032473D"/>
  </w:style>
  <w:style w:type="character" w:customStyle="1" w:styleId="gti-matchgti-match-paragraphgti-match-paragraph-8">
    <w:name w:val="gti-match gti-match-paragraph gti-match-paragraph-8"/>
    <w:basedOn w:val="DefaultParagraphFont"/>
    <w:rsid w:val="0032473D"/>
  </w:style>
  <w:style w:type="paragraph" w:customStyle="1" w:styleId="FootnoteTextA">
    <w:name w:val="Footnote Text A"/>
    <w:rsid w:val="00353FD4"/>
    <w:rPr>
      <w:rFonts w:ascii="Helvetica" w:eastAsia="ヒラギノ角ゴ Pro W3" w:hAnsi="Helvetica" w:cs="Times New Roman"/>
      <w:color w:val="000000"/>
      <w:sz w:val="20"/>
      <w:szCs w:val="20"/>
    </w:rPr>
  </w:style>
  <w:style w:type="paragraph" w:customStyle="1" w:styleId="FootnoteTextAA">
    <w:name w:val="Footnote Text A A"/>
    <w:rsid w:val="00BD080C"/>
    <w:rPr>
      <w:rFonts w:ascii="Helvetica" w:eastAsia="ヒラギノ角ゴ Pro W3" w:hAnsi="Helvetica" w:cs="Times New Roman"/>
      <w:color w:val="000000"/>
      <w:sz w:val="20"/>
      <w:szCs w:val="20"/>
    </w:rPr>
  </w:style>
  <w:style w:type="paragraph" w:customStyle="1" w:styleId="FootnoteTextD">
    <w:name w:val="Footnote Text D"/>
    <w:rsid w:val="00BD080C"/>
    <w:rPr>
      <w:rFonts w:ascii="Helvetica" w:eastAsia="ヒラギノ角ゴ Pro W3" w:hAnsi="Helvetica" w:cs="Times New Roman"/>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footnote text" w:uiPriority="99"/>
    <w:lsdException w:name="footer" w:uiPriority="99"/>
    <w:lsdException w:name="page number" w:uiPriority="99"/>
    <w:lsdException w:name="Hyperlink" w:uiPriority="99"/>
    <w:lsdException w:name="Strong" w:uiPriority="22"/>
    <w:lsdException w:name="Balloon Text" w:uiPriority="99"/>
    <w:lsdException w:name="List Paragraph" w:uiPriority="34" w:qFormat="1"/>
  </w:latentStyles>
  <w:style w:type="paragraph" w:default="1" w:styleId="Normal">
    <w:name w:val="Normal"/>
    <w:qFormat/>
    <w:rsid w:val="00A67AA0"/>
    <w:rPr>
      <w:lang w:val="en-GB"/>
    </w:rPr>
  </w:style>
  <w:style w:type="paragraph" w:styleId="Heading1">
    <w:name w:val="heading 1"/>
    <w:basedOn w:val="Normal"/>
    <w:next w:val="Normal"/>
    <w:link w:val="Heading1Char"/>
    <w:uiPriority w:val="9"/>
    <w:qFormat/>
    <w:rsid w:val="00410A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79D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79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A90"/>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D379D4"/>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D379D4"/>
    <w:rPr>
      <w:rFonts w:asciiTheme="majorHAnsi" w:eastAsiaTheme="majorEastAsia" w:hAnsiTheme="majorHAnsi" w:cstheme="majorBidi"/>
      <w:b/>
      <w:bCs/>
      <w:color w:val="4F81BD" w:themeColor="accent1"/>
      <w:lang w:val="en-GB"/>
    </w:rPr>
  </w:style>
  <w:style w:type="character" w:styleId="Hyperlink">
    <w:name w:val="Hyperlink"/>
    <w:basedOn w:val="DefaultParagraphFont"/>
    <w:uiPriority w:val="99"/>
    <w:semiHidden/>
    <w:unhideWhenUsed/>
    <w:rsid w:val="00410A90"/>
    <w:rPr>
      <w:color w:val="0000FF" w:themeColor="hyperlink"/>
      <w:u w:val="single"/>
    </w:rPr>
  </w:style>
  <w:style w:type="character" w:styleId="EndnoteReference">
    <w:name w:val="endnote reference"/>
    <w:basedOn w:val="DefaultParagraphFont"/>
    <w:rsid w:val="00675050"/>
    <w:rPr>
      <w:vertAlign w:val="superscript"/>
    </w:rPr>
  </w:style>
  <w:style w:type="paragraph" w:styleId="ListParagraph">
    <w:name w:val="List Paragraph"/>
    <w:basedOn w:val="Normal"/>
    <w:uiPriority w:val="34"/>
    <w:qFormat/>
    <w:rsid w:val="00C10B87"/>
    <w:pPr>
      <w:spacing w:after="200" w:line="276" w:lineRule="auto"/>
      <w:ind w:left="720"/>
      <w:contextualSpacing/>
    </w:pPr>
    <w:rPr>
      <w:sz w:val="22"/>
      <w:szCs w:val="22"/>
    </w:rPr>
  </w:style>
  <w:style w:type="character" w:styleId="CommentReference">
    <w:name w:val="annotation reference"/>
    <w:basedOn w:val="DefaultParagraphFont"/>
    <w:rsid w:val="00C10B87"/>
    <w:rPr>
      <w:sz w:val="18"/>
      <w:szCs w:val="18"/>
    </w:rPr>
  </w:style>
  <w:style w:type="paragraph" w:styleId="CommentText">
    <w:name w:val="annotation text"/>
    <w:basedOn w:val="Normal"/>
    <w:link w:val="CommentTextChar"/>
    <w:rsid w:val="00C10B87"/>
    <w:pPr>
      <w:spacing w:after="200"/>
    </w:pPr>
  </w:style>
  <w:style w:type="character" w:customStyle="1" w:styleId="CommentTextChar">
    <w:name w:val="Comment Text Char"/>
    <w:basedOn w:val="DefaultParagraphFont"/>
    <w:link w:val="CommentText"/>
    <w:rsid w:val="00C10B87"/>
    <w:rPr>
      <w:lang w:val="en-GB"/>
    </w:rPr>
  </w:style>
  <w:style w:type="paragraph" w:styleId="BalloonText">
    <w:name w:val="Balloon Text"/>
    <w:basedOn w:val="Normal"/>
    <w:link w:val="BalloonTextChar"/>
    <w:uiPriority w:val="99"/>
    <w:semiHidden/>
    <w:unhideWhenUsed/>
    <w:rsid w:val="00C10B87"/>
    <w:rPr>
      <w:rFonts w:ascii="Lucida Grande" w:hAnsi="Lucida Grande"/>
      <w:sz w:val="18"/>
      <w:szCs w:val="18"/>
    </w:rPr>
  </w:style>
  <w:style w:type="character" w:customStyle="1" w:styleId="BalloonTextChar">
    <w:name w:val="Balloon Text Char"/>
    <w:basedOn w:val="DefaultParagraphFont"/>
    <w:link w:val="BalloonText"/>
    <w:uiPriority w:val="99"/>
    <w:semiHidden/>
    <w:rsid w:val="00C10B87"/>
    <w:rPr>
      <w:rFonts w:ascii="Lucida Grande" w:hAnsi="Lucida Grande"/>
      <w:sz w:val="18"/>
      <w:szCs w:val="18"/>
      <w:lang w:val="en-GB"/>
    </w:rPr>
  </w:style>
  <w:style w:type="paragraph" w:styleId="Footer">
    <w:name w:val="footer"/>
    <w:basedOn w:val="Normal"/>
    <w:link w:val="FooterChar"/>
    <w:uiPriority w:val="99"/>
    <w:semiHidden/>
    <w:unhideWhenUsed/>
    <w:rsid w:val="005A23D7"/>
    <w:pPr>
      <w:tabs>
        <w:tab w:val="center" w:pos="4320"/>
        <w:tab w:val="right" w:pos="8640"/>
      </w:tabs>
    </w:pPr>
  </w:style>
  <w:style w:type="character" w:customStyle="1" w:styleId="FooterChar">
    <w:name w:val="Footer Char"/>
    <w:basedOn w:val="DefaultParagraphFont"/>
    <w:link w:val="Footer"/>
    <w:uiPriority w:val="99"/>
    <w:semiHidden/>
    <w:rsid w:val="005A23D7"/>
    <w:rPr>
      <w:lang w:val="en-GB"/>
    </w:rPr>
  </w:style>
  <w:style w:type="character" w:styleId="PageNumber">
    <w:name w:val="page number"/>
    <w:basedOn w:val="DefaultParagraphFont"/>
    <w:uiPriority w:val="99"/>
    <w:semiHidden/>
    <w:unhideWhenUsed/>
    <w:rsid w:val="005A23D7"/>
  </w:style>
  <w:style w:type="paragraph" w:styleId="EndnoteText">
    <w:name w:val="endnote text"/>
    <w:basedOn w:val="Normal"/>
    <w:link w:val="EndnoteTextChar"/>
    <w:rsid w:val="005A23D7"/>
  </w:style>
  <w:style w:type="character" w:customStyle="1" w:styleId="EndnoteTextChar">
    <w:name w:val="Endnote Text Char"/>
    <w:basedOn w:val="DefaultParagraphFont"/>
    <w:link w:val="EndnoteText"/>
    <w:rsid w:val="005A23D7"/>
    <w:rPr>
      <w:lang w:val="en-GB"/>
    </w:rPr>
  </w:style>
  <w:style w:type="paragraph" w:styleId="Caption">
    <w:name w:val="caption"/>
    <w:basedOn w:val="Normal"/>
    <w:next w:val="Normal"/>
    <w:uiPriority w:val="35"/>
    <w:unhideWhenUsed/>
    <w:qFormat/>
    <w:rsid w:val="005573C7"/>
    <w:pPr>
      <w:spacing w:after="200"/>
    </w:pPr>
    <w:rPr>
      <w:b/>
      <w:bCs/>
      <w:color w:val="4F81BD" w:themeColor="accent1"/>
      <w:sz w:val="18"/>
      <w:szCs w:val="18"/>
    </w:rPr>
  </w:style>
  <w:style w:type="character" w:customStyle="1" w:styleId="FootnoteReference1">
    <w:name w:val="Footnote Reference1"/>
    <w:rsid w:val="005573C7"/>
    <w:rPr>
      <w:color w:val="000000"/>
      <w:sz w:val="24"/>
      <w:vertAlign w:val="superscript"/>
    </w:rPr>
  </w:style>
  <w:style w:type="paragraph" w:customStyle="1" w:styleId="FootnoteText1">
    <w:name w:val="Footnote Text1"/>
    <w:rsid w:val="005573C7"/>
    <w:rPr>
      <w:rFonts w:ascii="Times New Roman" w:eastAsia="ヒラギノ角ゴ Pro W3" w:hAnsi="Times New Roman" w:cs="Times New Roman"/>
      <w:color w:val="000000"/>
      <w:szCs w:val="20"/>
      <w:lang w:val="en-GB"/>
    </w:rPr>
  </w:style>
  <w:style w:type="paragraph" w:styleId="BodyText">
    <w:name w:val="Body Text"/>
    <w:link w:val="BodyTextChar"/>
    <w:rsid w:val="005573C7"/>
    <w:pPr>
      <w:spacing w:after="220"/>
      <w:jc w:val="both"/>
    </w:pPr>
    <w:rPr>
      <w:rFonts w:ascii="Arial Narrow" w:eastAsia="ヒラギノ角ゴ Pro W3" w:hAnsi="Arial Narrow" w:cs="Times New Roman"/>
      <w:color w:val="000000"/>
      <w:sz w:val="22"/>
      <w:szCs w:val="20"/>
      <w:lang w:val="en-GB"/>
    </w:rPr>
  </w:style>
  <w:style w:type="character" w:customStyle="1" w:styleId="BodyTextChar">
    <w:name w:val="Body Text Char"/>
    <w:basedOn w:val="DefaultParagraphFont"/>
    <w:link w:val="BodyText"/>
    <w:rsid w:val="005573C7"/>
    <w:rPr>
      <w:rFonts w:ascii="Arial Narrow" w:eastAsia="ヒラギノ角ゴ Pro W3" w:hAnsi="Arial Narrow" w:cs="Times New Roman"/>
      <w:color w:val="000000"/>
      <w:sz w:val="22"/>
      <w:szCs w:val="20"/>
      <w:lang w:val="en-GB"/>
    </w:rPr>
  </w:style>
  <w:style w:type="paragraph" w:styleId="NormalWeb">
    <w:name w:val="Normal (Web)"/>
    <w:basedOn w:val="Normal"/>
    <w:rsid w:val="008B7F9A"/>
    <w:pPr>
      <w:spacing w:beforeLines="1" w:afterLines="1"/>
    </w:pPr>
    <w:rPr>
      <w:rFonts w:ascii="Times" w:hAnsi="Times" w:cs="Times New Roman"/>
      <w:sz w:val="20"/>
      <w:szCs w:val="20"/>
    </w:rPr>
  </w:style>
  <w:style w:type="character" w:customStyle="1" w:styleId="gti-matchgti-match-paragraphgti-match-paragraph-9">
    <w:name w:val="gti-match gti-match-paragraph gti-match-paragraph-9"/>
    <w:basedOn w:val="DefaultParagraphFont"/>
    <w:rsid w:val="008B7F9A"/>
  </w:style>
  <w:style w:type="character" w:customStyle="1" w:styleId="gti-matchgti-match-paragraphgti-match-paragraph-10">
    <w:name w:val="gti-match gti-match-paragraph gti-match-paragraph-10"/>
    <w:basedOn w:val="DefaultParagraphFont"/>
    <w:rsid w:val="008B7F9A"/>
  </w:style>
  <w:style w:type="character" w:customStyle="1" w:styleId="gti-matchgti-match-paragraphgti-match-paragraph-11">
    <w:name w:val="gti-match gti-match-paragraph gti-match-paragraph-11"/>
    <w:basedOn w:val="DefaultParagraphFont"/>
    <w:rsid w:val="008B7F9A"/>
  </w:style>
  <w:style w:type="character" w:customStyle="1" w:styleId="apple-converted-space">
    <w:name w:val="apple-converted-space"/>
    <w:basedOn w:val="DefaultParagraphFont"/>
    <w:rsid w:val="008B7F9A"/>
  </w:style>
  <w:style w:type="character" w:customStyle="1" w:styleId="google-translation-immersion-inner-word-wrap">
    <w:name w:val="google-translation-immersion-inner-word-wrap"/>
    <w:basedOn w:val="DefaultParagraphFont"/>
    <w:rsid w:val="008B7F9A"/>
  </w:style>
  <w:style w:type="character" w:customStyle="1" w:styleId="gti-matchgti-match-paragraphgti-match-paragraph-12">
    <w:name w:val="gti-match gti-match-paragraph gti-match-paragraph-12"/>
    <w:basedOn w:val="DefaultParagraphFont"/>
    <w:rsid w:val="008B7F9A"/>
  </w:style>
  <w:style w:type="character" w:customStyle="1" w:styleId="gti-matchgti-match-paragraphgti-match-paragraph-13">
    <w:name w:val="gti-match gti-match-paragraph gti-match-paragraph-13"/>
    <w:basedOn w:val="DefaultParagraphFont"/>
    <w:rsid w:val="008B7F9A"/>
  </w:style>
  <w:style w:type="paragraph" w:customStyle="1" w:styleId="FootnoteTextC">
    <w:name w:val="Footnote Text C"/>
    <w:rsid w:val="00495A45"/>
    <w:rPr>
      <w:rFonts w:ascii="Helvetica" w:eastAsia="ヒラギノ角ゴ Pro W3" w:hAnsi="Helvetica" w:cs="Times New Roman"/>
      <w:color w:val="000000"/>
      <w:sz w:val="20"/>
      <w:szCs w:val="20"/>
    </w:rPr>
  </w:style>
  <w:style w:type="paragraph" w:styleId="FootnoteText">
    <w:name w:val="footnote text"/>
    <w:basedOn w:val="Normal"/>
    <w:link w:val="FootnoteTextChar"/>
    <w:uiPriority w:val="99"/>
    <w:rsid w:val="00592BC0"/>
  </w:style>
  <w:style w:type="character" w:customStyle="1" w:styleId="FootnoteTextChar">
    <w:name w:val="Footnote Text Char"/>
    <w:basedOn w:val="DefaultParagraphFont"/>
    <w:link w:val="FootnoteText"/>
    <w:uiPriority w:val="99"/>
    <w:rsid w:val="00592BC0"/>
    <w:rPr>
      <w:lang w:val="en-GB"/>
    </w:rPr>
  </w:style>
  <w:style w:type="character" w:styleId="FootnoteReference">
    <w:name w:val="footnote reference"/>
    <w:basedOn w:val="DefaultParagraphFont"/>
    <w:rsid w:val="00592BC0"/>
    <w:rPr>
      <w:vertAlign w:val="superscript"/>
    </w:rPr>
  </w:style>
  <w:style w:type="character" w:customStyle="1" w:styleId="gti-matchgti-match-paragraphgti-match-paragraph-5">
    <w:name w:val="gti-match gti-match-paragraph gti-match-paragraph-5"/>
    <w:basedOn w:val="DefaultParagraphFont"/>
    <w:rsid w:val="0032473D"/>
  </w:style>
  <w:style w:type="character" w:customStyle="1" w:styleId="google-translation-immersion-original">
    <w:name w:val="google-translation-immersion-original"/>
    <w:basedOn w:val="DefaultParagraphFont"/>
    <w:rsid w:val="0032473D"/>
  </w:style>
  <w:style w:type="character" w:customStyle="1" w:styleId="gti-matchgti-match-paragraphgti-match-paragraph-6">
    <w:name w:val="gti-match gti-match-paragraph gti-match-paragraph-6"/>
    <w:basedOn w:val="DefaultParagraphFont"/>
    <w:rsid w:val="0032473D"/>
  </w:style>
  <w:style w:type="character" w:customStyle="1" w:styleId="gti-matchgti-match-paragraphgti-match-paragraph-7">
    <w:name w:val="gti-match gti-match-paragraph gti-match-paragraph-7"/>
    <w:basedOn w:val="DefaultParagraphFont"/>
    <w:rsid w:val="0032473D"/>
  </w:style>
  <w:style w:type="character" w:customStyle="1" w:styleId="gti-matchgti-match-paragraphgti-match-paragraph-8">
    <w:name w:val="gti-match gti-match-paragraph gti-match-paragraph-8"/>
    <w:basedOn w:val="DefaultParagraphFont"/>
    <w:rsid w:val="0032473D"/>
  </w:style>
  <w:style w:type="paragraph" w:customStyle="1" w:styleId="FootnoteTextA">
    <w:name w:val="Footnote Text A"/>
    <w:rsid w:val="00353FD4"/>
    <w:rPr>
      <w:rFonts w:ascii="Helvetica" w:eastAsia="ヒラギノ角ゴ Pro W3" w:hAnsi="Helvetica" w:cs="Times New Roman"/>
      <w:color w:val="000000"/>
      <w:sz w:val="20"/>
      <w:szCs w:val="20"/>
    </w:rPr>
  </w:style>
  <w:style w:type="paragraph" w:customStyle="1" w:styleId="FootnoteTextAA">
    <w:name w:val="Footnote Text A A"/>
    <w:rsid w:val="00BD080C"/>
    <w:rPr>
      <w:rFonts w:ascii="Helvetica" w:eastAsia="ヒラギノ角ゴ Pro W3" w:hAnsi="Helvetica" w:cs="Times New Roman"/>
      <w:color w:val="000000"/>
      <w:sz w:val="20"/>
      <w:szCs w:val="20"/>
    </w:rPr>
  </w:style>
  <w:style w:type="paragraph" w:customStyle="1" w:styleId="FootnoteTextD">
    <w:name w:val="Footnote Text D"/>
    <w:rsid w:val="00BD080C"/>
    <w:rPr>
      <w:rFonts w:ascii="Helvetica" w:eastAsia="ヒラギノ角ゴ Pro W3" w:hAnsi="Helvetic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57098">
      <w:bodyDiv w:val="1"/>
      <w:marLeft w:val="0"/>
      <w:marRight w:val="0"/>
      <w:marTop w:val="0"/>
      <w:marBottom w:val="0"/>
      <w:divBdr>
        <w:top w:val="none" w:sz="0" w:space="0" w:color="auto"/>
        <w:left w:val="none" w:sz="0" w:space="0" w:color="auto"/>
        <w:bottom w:val="none" w:sz="0" w:space="0" w:color="auto"/>
        <w:right w:val="none" w:sz="0" w:space="0" w:color="auto"/>
      </w:divBdr>
    </w:div>
    <w:div w:id="414743646">
      <w:bodyDiv w:val="1"/>
      <w:marLeft w:val="0"/>
      <w:marRight w:val="0"/>
      <w:marTop w:val="0"/>
      <w:marBottom w:val="0"/>
      <w:divBdr>
        <w:top w:val="none" w:sz="0" w:space="0" w:color="auto"/>
        <w:left w:val="none" w:sz="0" w:space="0" w:color="auto"/>
        <w:bottom w:val="none" w:sz="0" w:space="0" w:color="auto"/>
        <w:right w:val="none" w:sz="0" w:space="0" w:color="auto"/>
      </w:divBdr>
    </w:div>
    <w:div w:id="450442412">
      <w:bodyDiv w:val="1"/>
      <w:marLeft w:val="0"/>
      <w:marRight w:val="0"/>
      <w:marTop w:val="0"/>
      <w:marBottom w:val="0"/>
      <w:divBdr>
        <w:top w:val="none" w:sz="0" w:space="0" w:color="auto"/>
        <w:left w:val="none" w:sz="0" w:space="0" w:color="auto"/>
        <w:bottom w:val="none" w:sz="0" w:space="0" w:color="auto"/>
        <w:right w:val="none" w:sz="0" w:space="0" w:color="auto"/>
      </w:divBdr>
    </w:div>
    <w:div w:id="1011954094">
      <w:bodyDiv w:val="1"/>
      <w:marLeft w:val="0"/>
      <w:marRight w:val="0"/>
      <w:marTop w:val="0"/>
      <w:marBottom w:val="0"/>
      <w:divBdr>
        <w:top w:val="none" w:sz="0" w:space="0" w:color="auto"/>
        <w:left w:val="none" w:sz="0" w:space="0" w:color="auto"/>
        <w:bottom w:val="none" w:sz="0" w:space="0" w:color="auto"/>
        <w:right w:val="none" w:sz="0" w:space="0" w:color="auto"/>
      </w:divBdr>
    </w:div>
    <w:div w:id="1015888521">
      <w:bodyDiv w:val="1"/>
      <w:marLeft w:val="0"/>
      <w:marRight w:val="0"/>
      <w:marTop w:val="0"/>
      <w:marBottom w:val="0"/>
      <w:divBdr>
        <w:top w:val="none" w:sz="0" w:space="0" w:color="auto"/>
        <w:left w:val="none" w:sz="0" w:space="0" w:color="auto"/>
        <w:bottom w:val="none" w:sz="0" w:space="0" w:color="auto"/>
        <w:right w:val="none" w:sz="0" w:space="0" w:color="auto"/>
      </w:divBdr>
    </w:div>
    <w:div w:id="1063715674">
      <w:bodyDiv w:val="1"/>
      <w:marLeft w:val="0"/>
      <w:marRight w:val="0"/>
      <w:marTop w:val="0"/>
      <w:marBottom w:val="0"/>
      <w:divBdr>
        <w:top w:val="none" w:sz="0" w:space="0" w:color="auto"/>
        <w:left w:val="none" w:sz="0" w:space="0" w:color="auto"/>
        <w:bottom w:val="none" w:sz="0" w:space="0" w:color="auto"/>
        <w:right w:val="none" w:sz="0" w:space="0" w:color="auto"/>
      </w:divBdr>
      <w:divsChild>
        <w:div w:id="1351293522">
          <w:marLeft w:val="547"/>
          <w:marRight w:val="0"/>
          <w:marTop w:val="0"/>
          <w:marBottom w:val="0"/>
          <w:divBdr>
            <w:top w:val="none" w:sz="0" w:space="0" w:color="auto"/>
            <w:left w:val="none" w:sz="0" w:space="0" w:color="auto"/>
            <w:bottom w:val="none" w:sz="0" w:space="0" w:color="auto"/>
            <w:right w:val="none" w:sz="0" w:space="0" w:color="auto"/>
          </w:divBdr>
        </w:div>
      </w:divsChild>
    </w:div>
    <w:div w:id="1918393517">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inne.conole@le.ac.uk" TargetMode="External"/><Relationship Id="rId13" Type="http://schemas.openxmlformats.org/officeDocument/2006/relationships/image" Target="media/image5.png"/><Relationship Id="rId18" Type="http://schemas.openxmlformats.org/officeDocument/2006/relationships/hyperlink" Target="http://www.imv.au.dk/icreanet/" TargetMode="External"/><Relationship Id="rId26" Type="http://schemas.openxmlformats.org/officeDocument/2006/relationships/hyperlink" Target="http://www.imv.au.dk/icreanet/" TargetMode="External"/><Relationship Id="rId3" Type="http://schemas.microsoft.com/office/2007/relationships/stylesWithEffects" Target="stylesWithEffects.xml"/><Relationship Id="rId21" Type="http://schemas.openxmlformats.org/officeDocument/2006/relationships/hyperlink" Target="http://www.imv.au.dk/icreane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mv.au.dk/icreanet/" TargetMode="External"/><Relationship Id="rId25" Type="http://schemas.openxmlformats.org/officeDocument/2006/relationships/hyperlink" Target="http://www.imv.au.dk/icreane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mv.au.dk/icreanet/" TargetMode="External"/><Relationship Id="rId20" Type="http://schemas.openxmlformats.org/officeDocument/2006/relationships/hyperlink" Target="http://www.imv.au.dk/icreanet/" TargetMode="External"/><Relationship Id="rId29" Type="http://schemas.openxmlformats.org/officeDocument/2006/relationships/hyperlink" Target="http://oro.open.ac.uk/698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imv.au.dk/icreanet/"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mv.au.dk/icreanet/" TargetMode="External"/><Relationship Id="rId23" Type="http://schemas.openxmlformats.org/officeDocument/2006/relationships/hyperlink" Target="http://www.imv.au.dk/icreanet/" TargetMode="External"/><Relationship Id="rId28" Type="http://schemas.openxmlformats.org/officeDocument/2006/relationships/hyperlink" Target="http://e4innovation.com/?p=520" TargetMode="External"/><Relationship Id="rId10" Type="http://schemas.openxmlformats.org/officeDocument/2006/relationships/image" Target="media/image2.jpeg"/><Relationship Id="rId19" Type="http://schemas.openxmlformats.org/officeDocument/2006/relationships/hyperlink" Target="http://www.imv.au.dk/icreanet/"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mv.au.dk/icreanet/" TargetMode="External"/><Relationship Id="rId27" Type="http://schemas.openxmlformats.org/officeDocument/2006/relationships/hyperlink" Target="http://beyonddistance.wordpress.com/2012/02/07/carpe-diem-the-7cs-of-design-and-delivery/" TargetMode="External"/><Relationship Id="rId30" Type="http://schemas.openxmlformats.org/officeDocument/2006/relationships/hyperlink" Target="http://robwall.ca/2009/03/10/creativity-is-the-new-technology/"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ocw.mit.edu/index.htm" TargetMode="External"/><Relationship Id="rId7" Type="http://schemas.openxmlformats.org/officeDocument/2006/relationships/hyperlink" Target="http://www.galaxyzoo.org/" TargetMode="External"/><Relationship Id="rId2" Type="http://schemas.openxmlformats.org/officeDocument/2006/relationships/hyperlink" Target="http://www.slideshare.net/" TargetMode="External"/><Relationship Id="rId1" Type="http://schemas.openxmlformats.org/officeDocument/2006/relationships/hyperlink" Target="http://www.flickr.com/" TargetMode="External"/><Relationship Id="rId6" Type="http://schemas.openxmlformats.org/officeDocument/2006/relationships/hyperlink" Target="http://ispot.org.uk" TargetMode="External"/><Relationship Id="rId5" Type="http://schemas.openxmlformats.org/officeDocument/2006/relationships/hyperlink" Target="http://www.eprints.org" TargetMode="External"/><Relationship Id="rId4" Type="http://schemas.openxmlformats.org/officeDocument/2006/relationships/hyperlink" Target="http://openlearn.ope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13314</Words>
  <Characters>75895</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89031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Grainne Conole</dc:creator>
  <cp:lastModifiedBy>jennyl</cp:lastModifiedBy>
  <cp:revision>2</cp:revision>
  <dcterms:created xsi:type="dcterms:W3CDTF">2012-05-21T09:43:00Z</dcterms:created>
  <dcterms:modified xsi:type="dcterms:W3CDTF">2012-05-21T09:43:00Z</dcterms:modified>
</cp:coreProperties>
</file>