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1B6B0" w14:textId="37EBEF1F" w:rsidR="009972AB" w:rsidRDefault="00C0503A" w:rsidP="005C6C3D">
      <w:bookmarkStart w:id="0" w:name="_Toc97734433"/>
      <w:r>
        <w:rPr>
          <w:noProof/>
        </w:rPr>
        <w:drawing>
          <wp:anchor distT="0" distB="0" distL="114300" distR="114300" simplePos="0" relativeHeight="251658240" behindDoc="1" locked="0" layoutInCell="1" allowOverlap="1" wp14:anchorId="7D4B7BF7" wp14:editId="1364D6DF">
            <wp:simplePos x="0" y="0"/>
            <wp:positionH relativeFrom="page">
              <wp:posOffset>0</wp:posOffset>
            </wp:positionH>
            <wp:positionV relativeFrom="paragraph">
              <wp:posOffset>-899770</wp:posOffset>
            </wp:positionV>
            <wp:extent cx="7566625" cy="9451239"/>
            <wp:effectExtent l="0" t="0" r="317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1" cstate="print">
                      <a:extLst>
                        <a:ext uri="{28A0092B-C50C-407E-A947-70E740481C1C}">
                          <a14:useLocalDpi xmlns:a14="http://schemas.microsoft.com/office/drawing/2010/main" val="0"/>
                        </a:ext>
                      </a:extLst>
                    </a:blip>
                    <a:srcRect t="61" b="61"/>
                    <a:stretch>
                      <a:fillRect/>
                    </a:stretch>
                  </pic:blipFill>
                  <pic:spPr bwMode="auto">
                    <a:xfrm>
                      <a:off x="0" y="0"/>
                      <a:ext cx="7566625" cy="945123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D36E8C7" w14:textId="7C468E9D" w:rsidR="00CF5F42" w:rsidRDefault="00CF5F42" w:rsidP="005E2817">
      <w:pPr>
        <w:pStyle w:val="Title"/>
      </w:pPr>
    </w:p>
    <w:p w14:paraId="00E32980" w14:textId="633FFEC2" w:rsidR="00CF5F42" w:rsidRDefault="00CF5F42" w:rsidP="005E2817">
      <w:pPr>
        <w:pStyle w:val="Title"/>
      </w:pPr>
    </w:p>
    <w:p w14:paraId="1DBD649D" w14:textId="2238A80E" w:rsidR="00C0503A" w:rsidRDefault="00C0503A" w:rsidP="005E2817">
      <w:pPr>
        <w:pStyle w:val="Title"/>
        <w:outlineLvl w:val="9"/>
      </w:pPr>
    </w:p>
    <w:p w14:paraId="590AD1EE" w14:textId="1F91B196" w:rsidR="00191E86" w:rsidRDefault="00191E86" w:rsidP="005E2817">
      <w:pPr>
        <w:pStyle w:val="Title"/>
        <w:outlineLvl w:val="9"/>
      </w:pPr>
    </w:p>
    <w:p w14:paraId="5741C6AE" w14:textId="5BCE6A09" w:rsidR="00CF5F42" w:rsidRPr="005E2817" w:rsidRDefault="00DF5D53" w:rsidP="735A55BF">
      <w:pPr>
        <w:pStyle w:val="Title"/>
      </w:pPr>
      <w:r w:rsidRPr="00DF5D53">
        <w:t xml:space="preserve">Exploring cases that </w:t>
      </w:r>
      <w:r w:rsidR="00020A8A">
        <w:t xml:space="preserve">highlight </w:t>
      </w:r>
      <w:r w:rsidRPr="00DF5D53">
        <w:t>success</w:t>
      </w:r>
      <w:r w:rsidR="00020A8A">
        <w:t>es</w:t>
      </w:r>
      <w:r w:rsidRPr="00DF5D53">
        <w:t xml:space="preserve"> </w:t>
      </w:r>
      <w:r w:rsidR="00021493">
        <w:t>with</w:t>
      </w:r>
      <w:r w:rsidRPr="00DF5D53">
        <w:t xml:space="preserve"> Open Educational Resources</w:t>
      </w:r>
    </w:p>
    <w:p w14:paraId="7EF95B06" w14:textId="6CFA2A3A" w:rsidR="005E2817" w:rsidRDefault="005E2817" w:rsidP="005E2817">
      <w:pPr>
        <w:jc w:val="center"/>
        <w:rPr>
          <w:b/>
          <w:bCs/>
          <w:color w:val="808080"/>
          <w:sz w:val="24"/>
          <w:szCs w:val="24"/>
        </w:rPr>
      </w:pPr>
    </w:p>
    <w:p w14:paraId="116FE16C" w14:textId="6D995675" w:rsidR="00CF5F42" w:rsidRPr="00337DDF" w:rsidRDefault="005B72AB" w:rsidP="00337DDF">
      <w:pPr>
        <w:pStyle w:val="Headingsub-title2"/>
      </w:pPr>
      <w:r>
        <w:t>Summary report</w:t>
      </w:r>
      <w:r w:rsidR="006307C9">
        <w:t xml:space="preserve"> </w:t>
      </w:r>
      <w:r w:rsidR="006307C9" w:rsidRPr="006307C9">
        <w:t>for the Network of Open Orgs’ Collaborative Project</w:t>
      </w:r>
    </w:p>
    <w:p w14:paraId="00A1247F" w14:textId="4829B852" w:rsidR="005E2817" w:rsidRPr="005E2817" w:rsidRDefault="005E2817" w:rsidP="005E2817">
      <w:pPr>
        <w:jc w:val="center"/>
        <w:rPr>
          <w:b/>
          <w:bCs/>
          <w:color w:val="808080"/>
          <w:sz w:val="24"/>
          <w:szCs w:val="24"/>
        </w:rPr>
      </w:pPr>
    </w:p>
    <w:bookmarkEnd w:id="0"/>
    <w:p w14:paraId="69D8C85C" w14:textId="230737CA" w:rsidR="00337DDF" w:rsidRDefault="00627830" w:rsidP="00CE4AA5">
      <w:pPr>
        <w:pStyle w:val="Headingsub-title3"/>
      </w:pPr>
      <w:r>
        <w:rPr>
          <w:lang w:val="en-GB"/>
        </w:rPr>
        <w:t>Author</w:t>
      </w:r>
      <w:r w:rsidR="005B72AB">
        <w:rPr>
          <w:lang w:val="en-GB"/>
        </w:rPr>
        <w:t>s</w:t>
      </w:r>
      <w:r>
        <w:rPr>
          <w:lang w:val="en-GB"/>
        </w:rPr>
        <w:t xml:space="preserve">: </w:t>
      </w:r>
      <w:r w:rsidR="003B3B9F">
        <w:rPr>
          <w:lang w:val="en-GB"/>
        </w:rPr>
        <w:t xml:space="preserve">Mohini Baijnath, </w:t>
      </w:r>
      <w:r w:rsidR="00E8012F">
        <w:rPr>
          <w:lang w:val="en-GB"/>
        </w:rPr>
        <w:t xml:space="preserve">Neil Butcher, </w:t>
      </w:r>
      <w:r w:rsidR="003B3B9F">
        <w:rPr>
          <w:lang w:val="en-GB"/>
        </w:rPr>
        <w:t>and Tony Lelliott</w:t>
      </w:r>
    </w:p>
    <w:p w14:paraId="46F6536F" w14:textId="653D926D" w:rsidR="00337DDF" w:rsidRPr="00CE4AA5" w:rsidRDefault="005B72AB" w:rsidP="00D74267">
      <w:pPr>
        <w:pStyle w:val="Headingsub-title3"/>
        <w:rPr>
          <w:i/>
          <w:iCs/>
        </w:rPr>
      </w:pPr>
      <w:r>
        <w:rPr>
          <w:i/>
          <w:iCs/>
          <w:lang w:val="en-GB"/>
        </w:rPr>
        <w:t>OER Africa</w:t>
      </w:r>
    </w:p>
    <w:p w14:paraId="5CF0B2B1" w14:textId="714140DD" w:rsidR="0078768D" w:rsidRPr="00AA044B" w:rsidRDefault="0072103F" w:rsidP="00AA044B">
      <w:pPr>
        <w:rPr>
          <w:rFonts w:ascii="Roboto Black" w:hAnsi="Roboto Black"/>
          <w:b/>
          <w:color w:val="984806" w:themeColor="accent6" w:themeShade="80"/>
          <w:kern w:val="28"/>
          <w:sz w:val="40"/>
        </w:rPr>
        <w:sectPr w:rsidR="0078768D" w:rsidRPr="00AA044B" w:rsidSect="00741996">
          <w:footerReference w:type="even" r:id="rId12"/>
          <w:footerReference w:type="default" r:id="rId13"/>
          <w:footerReference w:type="first" r:id="rId14"/>
          <w:pgSz w:w="11906" w:h="16838"/>
          <w:pgMar w:top="1440" w:right="1440" w:bottom="1440" w:left="1440" w:header="708" w:footer="708" w:gutter="0"/>
          <w:pgNumType w:start="0"/>
          <w:cols w:space="708"/>
          <w:titlePg/>
          <w:docGrid w:linePitch="360"/>
        </w:sectPr>
      </w:pPr>
      <w:r w:rsidRPr="00AC1553">
        <w:rPr>
          <w:noProof/>
        </w:rPr>
        <w:drawing>
          <wp:anchor distT="0" distB="0" distL="114300" distR="114300" simplePos="0" relativeHeight="251663363" behindDoc="1" locked="0" layoutInCell="1" allowOverlap="1" wp14:anchorId="40E89E53" wp14:editId="5FACC387">
            <wp:simplePos x="0" y="0"/>
            <wp:positionH relativeFrom="margin">
              <wp:posOffset>4467225</wp:posOffset>
            </wp:positionH>
            <wp:positionV relativeFrom="margin">
              <wp:posOffset>8705850</wp:posOffset>
            </wp:positionV>
            <wp:extent cx="1938020" cy="835660"/>
            <wp:effectExtent l="0" t="0" r="5080" b="254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38020" cy="835660"/>
                    </a:xfrm>
                    <a:prstGeom prst="rect">
                      <a:avLst/>
                    </a:prstGeom>
                  </pic:spPr>
                </pic:pic>
              </a:graphicData>
            </a:graphic>
            <wp14:sizeRelH relativeFrom="page">
              <wp14:pctWidth>0</wp14:pctWidth>
            </wp14:sizeRelH>
            <wp14:sizeRelV relativeFrom="page">
              <wp14:pctHeight>0</wp14:pctHeight>
            </wp14:sizeRelV>
          </wp:anchor>
        </w:drawing>
      </w:r>
      <w:sdt>
        <w:sdtPr>
          <w:id w:val="865638651"/>
          <w:docPartObj>
            <w:docPartGallery w:val="Cover Pages"/>
            <w:docPartUnique/>
          </w:docPartObj>
        </w:sdtPr>
        <w:sdtEndPr/>
        <w:sdtContent>
          <w:r w:rsidR="00BB24CB">
            <w:br w:type="page"/>
          </w:r>
        </w:sdtContent>
      </w:sdt>
    </w:p>
    <w:p w14:paraId="5BCB55BA" w14:textId="77777777" w:rsidR="00FE563B" w:rsidRDefault="00FE563B" w:rsidP="001E4024"/>
    <w:p w14:paraId="6CF6A162" w14:textId="77777777" w:rsidR="00EE5D0A" w:rsidRDefault="00EE5D0A" w:rsidP="001E4024"/>
    <w:p w14:paraId="5073BB11" w14:textId="77777777" w:rsidR="00EE5D0A" w:rsidRDefault="00EE5D0A" w:rsidP="001E4024"/>
    <w:p w14:paraId="5ADE5ECE" w14:textId="77777777" w:rsidR="00EE5D0A" w:rsidRDefault="00EE5D0A" w:rsidP="001E4024"/>
    <w:p w14:paraId="1CE66092" w14:textId="77777777" w:rsidR="00EE5D0A" w:rsidRDefault="00EE5D0A" w:rsidP="001E4024"/>
    <w:p w14:paraId="7E138180" w14:textId="77777777" w:rsidR="00EE5D0A" w:rsidRDefault="00EE5D0A" w:rsidP="001E4024"/>
    <w:p w14:paraId="60703C2B" w14:textId="77777777" w:rsidR="00EE5D0A" w:rsidRDefault="00EE5D0A" w:rsidP="001E4024"/>
    <w:p w14:paraId="29F255E8" w14:textId="77777777" w:rsidR="00EE5D0A" w:rsidRDefault="00EE5D0A" w:rsidP="001E4024"/>
    <w:p w14:paraId="4E480BE9" w14:textId="77777777" w:rsidR="00EE5D0A" w:rsidRDefault="00EE5D0A" w:rsidP="001E4024"/>
    <w:p w14:paraId="6DCB6305" w14:textId="77777777" w:rsidR="00EE5D0A" w:rsidRDefault="00EE5D0A" w:rsidP="001E4024"/>
    <w:p w14:paraId="2FD614B6" w14:textId="77777777" w:rsidR="00EE5D0A" w:rsidRDefault="00EE5D0A" w:rsidP="001E4024"/>
    <w:p w14:paraId="71C047A2" w14:textId="77777777" w:rsidR="00EE5D0A" w:rsidRDefault="00EE5D0A" w:rsidP="001E4024"/>
    <w:p w14:paraId="3E91C8BB" w14:textId="77777777" w:rsidR="00EE5D0A" w:rsidRDefault="00EE5D0A" w:rsidP="001E4024"/>
    <w:tbl>
      <w:tblPr>
        <w:tblStyle w:val="GridTable1Light-Accent1"/>
        <w:tblW w:w="0" w:type="auto"/>
        <w:tblLook w:val="04A0" w:firstRow="1" w:lastRow="0" w:firstColumn="1" w:lastColumn="0" w:noHBand="0" w:noVBand="1"/>
      </w:tblPr>
      <w:tblGrid>
        <w:gridCol w:w="1980"/>
        <w:gridCol w:w="6804"/>
      </w:tblGrid>
      <w:tr w:rsidR="00AA044B" w14:paraId="2FA77251" w14:textId="77777777" w:rsidTr="00B501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FFFFFF"/>
              <w:left w:val="single" w:sz="4" w:space="0" w:color="FFFFFF"/>
              <w:bottom w:val="single" w:sz="4" w:space="0" w:color="FFFFFF"/>
              <w:right w:val="single" w:sz="4" w:space="0" w:color="FFFFFF"/>
            </w:tcBorders>
            <w:shd w:val="clear" w:color="auto" w:fill="auto"/>
          </w:tcPr>
          <w:p w14:paraId="553A5914" w14:textId="414839A5" w:rsidR="00AA044B" w:rsidRPr="00EE5D0A" w:rsidRDefault="00AA044B" w:rsidP="001E4024">
            <w:r w:rsidRPr="00EE5D0A">
              <w:t>Published by:</w:t>
            </w:r>
          </w:p>
        </w:tc>
        <w:tc>
          <w:tcPr>
            <w:tcW w:w="6804" w:type="dxa"/>
            <w:tcBorders>
              <w:top w:val="single" w:sz="4" w:space="0" w:color="FFFFFF"/>
              <w:left w:val="single" w:sz="4" w:space="0" w:color="FFFFFF"/>
              <w:bottom w:val="single" w:sz="4" w:space="0" w:color="FFFFFF"/>
              <w:right w:val="single" w:sz="4" w:space="0" w:color="FFFFFF"/>
            </w:tcBorders>
            <w:shd w:val="clear" w:color="auto" w:fill="auto"/>
          </w:tcPr>
          <w:p w14:paraId="3A782EC8" w14:textId="262502EA" w:rsidR="00AA044B" w:rsidRPr="00EE5D0A" w:rsidRDefault="00AA044B" w:rsidP="001E4024">
            <w:pPr>
              <w:cnfStyle w:val="100000000000" w:firstRow="1" w:lastRow="0" w:firstColumn="0" w:lastColumn="0" w:oddVBand="0" w:evenVBand="0" w:oddHBand="0" w:evenHBand="0" w:firstRowFirstColumn="0" w:firstRowLastColumn="0" w:lastRowFirstColumn="0" w:lastRowLastColumn="0"/>
              <w:rPr>
                <w:b w:val="0"/>
                <w:bCs w:val="0"/>
              </w:rPr>
            </w:pPr>
            <w:r w:rsidRPr="00EE5D0A">
              <w:rPr>
                <w:b w:val="0"/>
                <w:bCs w:val="0"/>
              </w:rPr>
              <w:t>OER Africa</w:t>
            </w:r>
          </w:p>
        </w:tc>
      </w:tr>
      <w:tr w:rsidR="00AA044B" w14:paraId="4B866210" w14:textId="77777777" w:rsidTr="00B50134">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FFFFFF"/>
              <w:left w:val="single" w:sz="4" w:space="0" w:color="FFFFFF"/>
              <w:bottom w:val="single" w:sz="4" w:space="0" w:color="FFFFFF"/>
              <w:right w:val="single" w:sz="4" w:space="0" w:color="FFFFFF"/>
            </w:tcBorders>
            <w:shd w:val="clear" w:color="auto" w:fill="auto"/>
          </w:tcPr>
          <w:p w14:paraId="45D96817" w14:textId="77777777" w:rsidR="00AA044B" w:rsidRDefault="00AA044B" w:rsidP="001E4024"/>
        </w:tc>
        <w:tc>
          <w:tcPr>
            <w:tcW w:w="6804" w:type="dxa"/>
            <w:tcBorders>
              <w:top w:val="single" w:sz="4" w:space="0" w:color="FFFFFF"/>
              <w:left w:val="single" w:sz="4" w:space="0" w:color="FFFFFF"/>
              <w:bottom w:val="single" w:sz="4" w:space="0" w:color="FFFFFF"/>
              <w:right w:val="single" w:sz="4" w:space="0" w:color="FFFFFF"/>
            </w:tcBorders>
            <w:shd w:val="clear" w:color="auto" w:fill="auto"/>
          </w:tcPr>
          <w:p w14:paraId="407B0BF4" w14:textId="4AF91CAF" w:rsidR="00AA044B" w:rsidRDefault="00AA044B" w:rsidP="001E4024">
            <w:pPr>
              <w:cnfStyle w:val="000000000000" w:firstRow="0" w:lastRow="0" w:firstColumn="0" w:lastColumn="0" w:oddVBand="0" w:evenVBand="0" w:oddHBand="0" w:evenHBand="0" w:firstRowFirstColumn="0" w:firstRowLastColumn="0" w:lastRowFirstColumn="0" w:lastRowLastColumn="0"/>
            </w:pPr>
            <w:r w:rsidRPr="00BD765E">
              <w:t xml:space="preserve">19 </w:t>
            </w:r>
            <w:proofErr w:type="spellStart"/>
            <w:r w:rsidRPr="00BD765E">
              <w:t>Ameshoff</w:t>
            </w:r>
            <w:proofErr w:type="spellEnd"/>
            <w:r w:rsidRPr="00BD765E">
              <w:t xml:space="preserve"> Street</w:t>
            </w:r>
          </w:p>
        </w:tc>
      </w:tr>
      <w:tr w:rsidR="00AA044B" w14:paraId="40135F14" w14:textId="77777777" w:rsidTr="00B50134">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FFFFFF"/>
              <w:left w:val="single" w:sz="4" w:space="0" w:color="FFFFFF"/>
              <w:bottom w:val="single" w:sz="4" w:space="0" w:color="FFFFFF"/>
              <w:right w:val="single" w:sz="4" w:space="0" w:color="FFFFFF"/>
            </w:tcBorders>
            <w:shd w:val="clear" w:color="auto" w:fill="auto"/>
          </w:tcPr>
          <w:p w14:paraId="7D6CD228" w14:textId="77777777" w:rsidR="00AA044B" w:rsidRDefault="00AA044B" w:rsidP="001E4024"/>
        </w:tc>
        <w:tc>
          <w:tcPr>
            <w:tcW w:w="6804" w:type="dxa"/>
            <w:tcBorders>
              <w:top w:val="single" w:sz="4" w:space="0" w:color="FFFFFF"/>
              <w:left w:val="single" w:sz="4" w:space="0" w:color="FFFFFF"/>
              <w:bottom w:val="single" w:sz="4" w:space="0" w:color="FFFFFF"/>
              <w:right w:val="single" w:sz="4" w:space="0" w:color="FFFFFF"/>
            </w:tcBorders>
            <w:shd w:val="clear" w:color="auto" w:fill="auto"/>
          </w:tcPr>
          <w:p w14:paraId="52C73A46" w14:textId="2D9166A9" w:rsidR="00AA044B" w:rsidRDefault="00AA044B" w:rsidP="001E4024">
            <w:pPr>
              <w:cnfStyle w:val="000000000000" w:firstRow="0" w:lastRow="0" w:firstColumn="0" w:lastColumn="0" w:oddVBand="0" w:evenVBand="0" w:oddHBand="0" w:evenHBand="0" w:firstRowFirstColumn="0" w:firstRowLastColumn="0" w:lastRowFirstColumn="0" w:lastRowLastColumn="0"/>
            </w:pPr>
            <w:r w:rsidRPr="00BD765E">
              <w:t xml:space="preserve">Johannesburg, </w:t>
            </w:r>
            <w:r>
              <w:t>South Africa</w:t>
            </w:r>
          </w:p>
        </w:tc>
      </w:tr>
      <w:tr w:rsidR="00AA044B" w14:paraId="00209660" w14:textId="77777777" w:rsidTr="00B50134">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FFFFFF"/>
              <w:left w:val="single" w:sz="4" w:space="0" w:color="FFFFFF"/>
              <w:bottom w:val="single" w:sz="4" w:space="0" w:color="FFFFFF"/>
              <w:right w:val="single" w:sz="4" w:space="0" w:color="FFFFFF"/>
            </w:tcBorders>
            <w:shd w:val="clear" w:color="auto" w:fill="auto"/>
          </w:tcPr>
          <w:p w14:paraId="42335F54" w14:textId="781B55A5" w:rsidR="00AA044B" w:rsidRDefault="00AA044B" w:rsidP="001E4024"/>
        </w:tc>
        <w:tc>
          <w:tcPr>
            <w:tcW w:w="6804" w:type="dxa"/>
            <w:tcBorders>
              <w:top w:val="single" w:sz="4" w:space="0" w:color="FFFFFF"/>
              <w:left w:val="single" w:sz="4" w:space="0" w:color="FFFFFF"/>
              <w:bottom w:val="single" w:sz="4" w:space="0" w:color="FFFFFF"/>
              <w:right w:val="single" w:sz="4" w:space="0" w:color="FFFFFF"/>
            </w:tcBorders>
            <w:shd w:val="clear" w:color="auto" w:fill="auto"/>
          </w:tcPr>
          <w:p w14:paraId="47DCE3EB" w14:textId="010268F9" w:rsidR="00AA044B" w:rsidRDefault="00AA044B" w:rsidP="001E4024">
            <w:pPr>
              <w:cnfStyle w:val="000000000000" w:firstRow="0" w:lastRow="0" w:firstColumn="0" w:lastColumn="0" w:oddVBand="0" w:evenVBand="0" w:oddHBand="0" w:evenHBand="0" w:firstRowFirstColumn="0" w:firstRowLastColumn="0" w:lastRowFirstColumn="0" w:lastRowLastColumn="0"/>
            </w:pPr>
            <w:r>
              <w:t>2001</w:t>
            </w:r>
          </w:p>
        </w:tc>
      </w:tr>
      <w:tr w:rsidR="00F76D72" w14:paraId="6F27A5C0" w14:textId="77777777" w:rsidTr="00B50134">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FFFFFF"/>
              <w:left w:val="single" w:sz="4" w:space="0" w:color="FFFFFF"/>
              <w:bottom w:val="single" w:sz="4" w:space="0" w:color="FFFFFF"/>
              <w:right w:val="single" w:sz="4" w:space="0" w:color="FFFFFF"/>
            </w:tcBorders>
            <w:shd w:val="clear" w:color="auto" w:fill="auto"/>
          </w:tcPr>
          <w:p w14:paraId="4ABAA6D4" w14:textId="77777777" w:rsidR="00F76D72" w:rsidRDefault="00F76D72" w:rsidP="001E4024"/>
        </w:tc>
        <w:tc>
          <w:tcPr>
            <w:tcW w:w="6804" w:type="dxa"/>
            <w:tcBorders>
              <w:top w:val="single" w:sz="4" w:space="0" w:color="FFFFFF"/>
              <w:left w:val="single" w:sz="4" w:space="0" w:color="FFFFFF"/>
              <w:bottom w:val="single" w:sz="4" w:space="0" w:color="FFFFFF"/>
              <w:right w:val="single" w:sz="4" w:space="0" w:color="FFFFFF"/>
            </w:tcBorders>
            <w:shd w:val="clear" w:color="auto" w:fill="auto"/>
          </w:tcPr>
          <w:p w14:paraId="759EFB9D" w14:textId="77777777" w:rsidR="00F76D72" w:rsidRDefault="00F76D72" w:rsidP="001E4024">
            <w:pPr>
              <w:cnfStyle w:val="000000000000" w:firstRow="0" w:lastRow="0" w:firstColumn="0" w:lastColumn="0" w:oddVBand="0" w:evenVBand="0" w:oddHBand="0" w:evenHBand="0" w:firstRowFirstColumn="0" w:firstRowLastColumn="0" w:lastRowFirstColumn="0" w:lastRowLastColumn="0"/>
            </w:pPr>
          </w:p>
        </w:tc>
      </w:tr>
      <w:tr w:rsidR="00AA044B" w14:paraId="7D13595C" w14:textId="77777777" w:rsidTr="00B50134">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FFFFFF"/>
              <w:left w:val="single" w:sz="4" w:space="0" w:color="FFFFFF"/>
              <w:bottom w:val="single" w:sz="4" w:space="0" w:color="FFFFFF"/>
              <w:right w:val="single" w:sz="4" w:space="0" w:color="FFFFFF"/>
            </w:tcBorders>
            <w:shd w:val="clear" w:color="auto" w:fill="auto"/>
          </w:tcPr>
          <w:p w14:paraId="7D3598D8" w14:textId="4BB180D8" w:rsidR="00AA044B" w:rsidRPr="00EE5D0A" w:rsidRDefault="00AA044B" w:rsidP="001E4024">
            <w:r w:rsidRPr="00EE5D0A">
              <w:t>Publication date:</w:t>
            </w:r>
          </w:p>
        </w:tc>
        <w:tc>
          <w:tcPr>
            <w:tcW w:w="6804" w:type="dxa"/>
            <w:tcBorders>
              <w:top w:val="single" w:sz="4" w:space="0" w:color="FFFFFF"/>
              <w:left w:val="single" w:sz="4" w:space="0" w:color="FFFFFF"/>
              <w:bottom w:val="single" w:sz="4" w:space="0" w:color="FFFFFF"/>
              <w:right w:val="single" w:sz="4" w:space="0" w:color="FFFFFF"/>
            </w:tcBorders>
            <w:shd w:val="clear" w:color="auto" w:fill="auto"/>
          </w:tcPr>
          <w:p w14:paraId="0C358A9D" w14:textId="630CBD5D" w:rsidR="00AA044B" w:rsidRDefault="0014416F" w:rsidP="001E4024">
            <w:pPr>
              <w:cnfStyle w:val="000000000000" w:firstRow="0" w:lastRow="0" w:firstColumn="0" w:lastColumn="0" w:oddVBand="0" w:evenVBand="0" w:oddHBand="0" w:evenHBand="0" w:firstRowFirstColumn="0" w:firstRowLastColumn="0" w:lastRowFirstColumn="0" w:lastRowLastColumn="0"/>
            </w:pPr>
            <w:r>
              <w:t>May, 2022</w:t>
            </w:r>
          </w:p>
        </w:tc>
      </w:tr>
      <w:tr w:rsidR="00CB45CD" w14:paraId="50838452" w14:textId="77777777" w:rsidTr="00B50134">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FFFFFF"/>
              <w:left w:val="single" w:sz="4" w:space="0" w:color="FFFFFF"/>
              <w:bottom w:val="single" w:sz="4" w:space="0" w:color="FFFFFF"/>
              <w:right w:val="single" w:sz="4" w:space="0" w:color="FFFFFF"/>
            </w:tcBorders>
            <w:shd w:val="clear" w:color="auto" w:fill="auto"/>
          </w:tcPr>
          <w:p w14:paraId="1C8E0358" w14:textId="77777777" w:rsidR="00CB45CD" w:rsidRPr="00EE5D0A" w:rsidRDefault="00CB45CD" w:rsidP="001E4024"/>
        </w:tc>
        <w:tc>
          <w:tcPr>
            <w:tcW w:w="6804" w:type="dxa"/>
            <w:tcBorders>
              <w:top w:val="single" w:sz="4" w:space="0" w:color="FFFFFF"/>
              <w:left w:val="single" w:sz="4" w:space="0" w:color="FFFFFF"/>
              <w:bottom w:val="single" w:sz="4" w:space="0" w:color="FFFFFF"/>
              <w:right w:val="single" w:sz="4" w:space="0" w:color="FFFFFF"/>
            </w:tcBorders>
            <w:shd w:val="clear" w:color="auto" w:fill="auto"/>
          </w:tcPr>
          <w:p w14:paraId="0F231905" w14:textId="77777777" w:rsidR="00CB45CD" w:rsidRDefault="00CB45CD" w:rsidP="001E4024">
            <w:pPr>
              <w:cnfStyle w:val="000000000000" w:firstRow="0" w:lastRow="0" w:firstColumn="0" w:lastColumn="0" w:oddVBand="0" w:evenVBand="0" w:oddHBand="0" w:evenHBand="0" w:firstRowFirstColumn="0" w:firstRowLastColumn="0" w:lastRowFirstColumn="0" w:lastRowLastColumn="0"/>
            </w:pPr>
          </w:p>
        </w:tc>
      </w:tr>
      <w:tr w:rsidR="00AA044B" w14:paraId="7A7B9D0E" w14:textId="77777777" w:rsidTr="00B50134">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FFFFFF"/>
              <w:left w:val="single" w:sz="4" w:space="0" w:color="FFFFFF"/>
              <w:bottom w:val="single" w:sz="4" w:space="0" w:color="FFFFFF"/>
              <w:right w:val="single" w:sz="4" w:space="0" w:color="FFFFFF"/>
            </w:tcBorders>
            <w:shd w:val="clear" w:color="auto" w:fill="auto"/>
          </w:tcPr>
          <w:p w14:paraId="555FEFC7" w14:textId="1030B9EF" w:rsidR="00AA044B" w:rsidRDefault="00B50134" w:rsidP="001E4024">
            <w:r>
              <w:t>Recommended citation</w:t>
            </w:r>
            <w:r w:rsidR="00F76D72">
              <w:t>:</w:t>
            </w:r>
          </w:p>
        </w:tc>
        <w:tc>
          <w:tcPr>
            <w:tcW w:w="6804" w:type="dxa"/>
            <w:tcBorders>
              <w:top w:val="single" w:sz="4" w:space="0" w:color="FFFFFF"/>
              <w:left w:val="single" w:sz="4" w:space="0" w:color="FFFFFF"/>
              <w:bottom w:val="single" w:sz="4" w:space="0" w:color="FFFFFF"/>
              <w:right w:val="single" w:sz="4" w:space="0" w:color="FFFFFF"/>
            </w:tcBorders>
            <w:shd w:val="clear" w:color="auto" w:fill="auto"/>
          </w:tcPr>
          <w:p w14:paraId="5C7E75D7" w14:textId="13B3AEC9" w:rsidR="00AA044B" w:rsidRDefault="00856AC9" w:rsidP="001E4024">
            <w:pPr>
              <w:cnfStyle w:val="000000000000" w:firstRow="0" w:lastRow="0" w:firstColumn="0" w:lastColumn="0" w:oddVBand="0" w:evenVBand="0" w:oddHBand="0" w:evenHBand="0" w:firstRowFirstColumn="0" w:firstRowLastColumn="0" w:lastRowFirstColumn="0" w:lastRowLastColumn="0"/>
            </w:pPr>
            <w:r>
              <w:t>Baijnath</w:t>
            </w:r>
            <w:r w:rsidR="00B50134">
              <w:t xml:space="preserve">, </w:t>
            </w:r>
            <w:r>
              <w:t>M</w:t>
            </w:r>
            <w:r w:rsidR="00B50134">
              <w:t xml:space="preserve">., </w:t>
            </w:r>
            <w:r>
              <w:t>Butcher</w:t>
            </w:r>
            <w:r w:rsidR="00B50134">
              <w:t xml:space="preserve">, </w:t>
            </w:r>
            <w:r>
              <w:t>N</w:t>
            </w:r>
            <w:r w:rsidR="00B50134">
              <w:t>. and Lelliott, T</w:t>
            </w:r>
            <w:r w:rsidR="00B50134" w:rsidRPr="00B50134">
              <w:t>. (2022). Exploring cases that highlight successes with Open Educational Resources: Summary report for the Network of Open Orgs’ Collaborative Project.</w:t>
            </w:r>
            <w:r w:rsidR="00CF1507">
              <w:t xml:space="preserve"> Available at</w:t>
            </w:r>
            <w:r w:rsidR="00CF1507" w:rsidRPr="007A5EF5">
              <w:t>:</w:t>
            </w:r>
            <w:r w:rsidR="00CF1507">
              <w:t xml:space="preserve"> </w:t>
            </w:r>
            <w:hyperlink r:id="rId16" w:history="1">
              <w:r w:rsidR="00CF1507" w:rsidRPr="00F4370A">
                <w:rPr>
                  <w:rStyle w:val="Hyperlink"/>
                </w:rPr>
                <w:t>https://www.oerafrica.org/node/13635/materials</w:t>
              </w:r>
            </w:hyperlink>
          </w:p>
        </w:tc>
      </w:tr>
    </w:tbl>
    <w:p w14:paraId="22AFDE32" w14:textId="77777777" w:rsidR="00FE563B" w:rsidRDefault="00FE563B" w:rsidP="001E4024"/>
    <w:p w14:paraId="190420EC" w14:textId="3A2B32EF" w:rsidR="006E321B" w:rsidRPr="00BD765E" w:rsidRDefault="00237BA1" w:rsidP="006E321B">
      <w:pPr>
        <w:sectPr w:rsidR="006E321B" w:rsidRPr="00BD765E" w:rsidSect="000D5FC9">
          <w:pgSz w:w="11906" w:h="16838"/>
          <w:pgMar w:top="1440" w:right="1440" w:bottom="1440" w:left="1440" w:header="709" w:footer="709" w:gutter="0"/>
          <w:pgNumType w:start="2"/>
          <w:cols w:space="708"/>
          <w:docGrid w:linePitch="360"/>
        </w:sectPr>
      </w:pPr>
      <w:r w:rsidRPr="00B71B9A">
        <w:rPr>
          <w:noProof/>
        </w:rPr>
        <w:drawing>
          <wp:anchor distT="0" distB="0" distL="114300" distR="114300" simplePos="0" relativeHeight="251660291" behindDoc="0" locked="0" layoutInCell="1" allowOverlap="1" wp14:anchorId="0CFBF20C" wp14:editId="1FB43A9A">
            <wp:simplePos x="0" y="0"/>
            <wp:positionH relativeFrom="margin">
              <wp:posOffset>2370455</wp:posOffset>
            </wp:positionH>
            <wp:positionV relativeFrom="margin">
              <wp:posOffset>7937500</wp:posOffset>
            </wp:positionV>
            <wp:extent cx="989330" cy="344170"/>
            <wp:effectExtent l="0" t="0" r="1270" b="0"/>
            <wp:wrapSquare wrapText="bothSides"/>
            <wp:docPr id="5" name="Picture 5" descr="A picture containing text, clipart&#10;&#10;Description automatically generated">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clipart&#10;&#10;Description automatically generated">
                      <a:hlinkClick r:id="rId17"/>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89330" cy="344170"/>
                    </a:xfrm>
                    <a:prstGeom prst="rect">
                      <a:avLst/>
                    </a:prstGeom>
                  </pic:spPr>
                </pic:pic>
              </a:graphicData>
            </a:graphic>
            <wp14:sizeRelH relativeFrom="margin">
              <wp14:pctWidth>0</wp14:pctWidth>
            </wp14:sizeRelH>
            <wp14:sizeRelV relativeFrom="margin">
              <wp14:pctHeight>0</wp14:pctHeight>
            </wp14:sizeRelV>
          </wp:anchor>
        </w:drawing>
      </w:r>
      <w:r w:rsidRPr="00866B9D">
        <w:rPr>
          <w:noProof/>
        </w:rPr>
        <mc:AlternateContent>
          <mc:Choice Requires="wps">
            <w:drawing>
              <wp:anchor distT="45720" distB="45720" distL="114300" distR="114300" simplePos="0" relativeHeight="251661315" behindDoc="0" locked="0" layoutInCell="1" allowOverlap="1" wp14:anchorId="5A3B8C17" wp14:editId="6847A5E5">
                <wp:simplePos x="0" y="0"/>
                <wp:positionH relativeFrom="margin">
                  <wp:posOffset>-537845</wp:posOffset>
                </wp:positionH>
                <wp:positionV relativeFrom="margin">
                  <wp:posOffset>8355330</wp:posOffset>
                </wp:positionV>
                <wp:extent cx="6807200" cy="303530"/>
                <wp:effectExtent l="0" t="0" r="0" b="127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0" cy="303530"/>
                        </a:xfrm>
                        <a:prstGeom prst="rect">
                          <a:avLst/>
                        </a:prstGeom>
                        <a:noFill/>
                        <a:ln w="9525">
                          <a:noFill/>
                          <a:miter lim="800000"/>
                          <a:headEnd/>
                          <a:tailEnd/>
                        </a:ln>
                      </wps:spPr>
                      <wps:txbx>
                        <w:txbxContent>
                          <w:p w14:paraId="715D3E31" w14:textId="77777777" w:rsidR="00965BD0" w:rsidRPr="00385006" w:rsidRDefault="00965BD0" w:rsidP="00965BD0">
                            <w:pPr>
                              <w:jc w:val="center"/>
                              <w:rPr>
                                <w:bCs/>
                                <w:color w:val="000000" w:themeColor="text1"/>
                                <w:szCs w:val="20"/>
                              </w:rPr>
                            </w:pPr>
                            <w:r w:rsidRPr="00385006">
                              <w:rPr>
                                <w:color w:val="000000" w:themeColor="text1"/>
                                <w:szCs w:val="20"/>
                                <w:lang w:val="en-GB"/>
                              </w:rPr>
                              <w:t>This</w:t>
                            </w:r>
                            <w:r w:rsidRPr="00385006">
                              <w:rPr>
                                <w:rStyle w:val="Hyperlink"/>
                                <w:color w:val="000000" w:themeColor="text1"/>
                                <w:szCs w:val="20"/>
                                <w:u w:val="none"/>
                                <w:lang w:val="en-GB"/>
                              </w:rPr>
                              <w:t xml:space="preserve"> work is licensed under a </w:t>
                            </w:r>
                            <w:hyperlink r:id="rId19" w:history="1">
                              <w:r w:rsidRPr="00385006">
                                <w:rPr>
                                  <w:rStyle w:val="Hyperlink"/>
                                  <w:color w:val="000000" w:themeColor="text1"/>
                                  <w:szCs w:val="20"/>
                                  <w:lang w:val="en-GB"/>
                                </w:rPr>
                                <w:t>Creative Commons Attribution 4.0 licence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3B8C17" id="_x0000_t202" coordsize="21600,21600" o:spt="202" path="m,l,21600r21600,l21600,xe">
                <v:stroke joinstyle="miter"/>
                <v:path gradientshapeok="t" o:connecttype="rect"/>
              </v:shapetype>
              <v:shape id="Text Box 2" o:spid="_x0000_s1026" type="#_x0000_t202" style="position:absolute;left:0;text-align:left;margin-left:-42.35pt;margin-top:657.9pt;width:536pt;height:23.9pt;z-index:251661315;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" filled="f" stroked="f">
                <v:textbox>
                  <w:txbxContent>
                    <w:p w14:paraId="715D3E31" w14:textId="77777777" w:rsidR="00965BD0" w:rsidRPr="00385006" w:rsidRDefault="00965BD0" w:rsidP="00965BD0">
                      <w:pPr>
                        <w:jc w:val="center"/>
                        <w:rPr>
                          <w:bCs/>
                          <w:color w:val="000000" w:themeColor="text1"/>
                          <w:szCs w:val="20"/>
                        </w:rPr>
                      </w:pPr>
                      <w:r w:rsidRPr="00385006">
                        <w:rPr>
                          <w:color w:val="000000" w:themeColor="text1"/>
                          <w:szCs w:val="20"/>
                          <w:lang w:val="en-GB"/>
                        </w:rPr>
                        <w:t>This</w:t>
                      </w:r>
                      <w:r w:rsidRPr="00385006">
                        <w:rPr>
                          <w:rStyle w:val="Hyperlink"/>
                          <w:color w:val="000000" w:themeColor="text1"/>
                          <w:szCs w:val="20"/>
                          <w:u w:val="none"/>
                          <w:lang w:val="en-GB"/>
                        </w:rPr>
                        <w:t xml:space="preserve"> work is licensed under a </w:t>
                      </w:r>
                      <w:hyperlink r:id="rId20" w:history="1">
                        <w:r w:rsidRPr="00385006">
                          <w:rPr>
                            <w:rStyle w:val="Hyperlink"/>
                            <w:color w:val="000000" w:themeColor="text1"/>
                            <w:szCs w:val="20"/>
                            <w:lang w:val="en-GB"/>
                          </w:rPr>
                          <w:t>Creative Commons Attribution 4.0 licence</w:t>
                        </w:r>
                      </w:hyperlink>
                    </w:p>
                  </w:txbxContent>
                </v:textbox>
                <w10:wrap type="square" anchorx="margin" anchory="margin"/>
              </v:shape>
            </w:pict>
          </mc:Fallback>
        </mc:AlternateContent>
      </w:r>
      <w:r w:rsidR="00BD765E" w:rsidRPr="00BD765E">
        <w:t xml:space="preserve"> </w:t>
      </w:r>
    </w:p>
    <w:p w14:paraId="3C0F0538" w14:textId="74738200" w:rsidR="00CF5F42" w:rsidRDefault="00BC346F" w:rsidP="005C6C3D">
      <w:pPr>
        <w:pStyle w:val="Heading2"/>
      </w:pPr>
      <w:r>
        <w:lastRenderedPageBreak/>
        <w:t>List of abbreviations</w:t>
      </w:r>
    </w:p>
    <w:tbl>
      <w:tblPr>
        <w:tblStyle w:val="TableGridLight"/>
        <w:tblW w:w="0" w:type="auto"/>
        <w:tblLook w:val="04A0" w:firstRow="1" w:lastRow="0" w:firstColumn="1" w:lastColumn="0" w:noHBand="0" w:noVBand="1"/>
      </w:tblPr>
      <w:tblGrid>
        <w:gridCol w:w="1838"/>
        <w:gridCol w:w="7178"/>
      </w:tblGrid>
      <w:tr w:rsidR="00764E85" w:rsidRPr="00917A36" w14:paraId="1DE36FB9" w14:textId="77777777" w:rsidTr="00D51097">
        <w:tc>
          <w:tcPr>
            <w:tcW w:w="1838" w:type="dxa"/>
          </w:tcPr>
          <w:p w14:paraId="166D56BF" w14:textId="0888B4A7" w:rsidR="00764E85" w:rsidRPr="00917A36" w:rsidRDefault="00764E85" w:rsidP="00F81C3C">
            <w:pPr>
              <w:rPr>
                <w:szCs w:val="20"/>
              </w:rPr>
            </w:pPr>
            <w:r w:rsidRPr="00917A36">
              <w:rPr>
                <w:szCs w:val="20"/>
              </w:rPr>
              <w:t>AVU</w:t>
            </w:r>
          </w:p>
        </w:tc>
        <w:tc>
          <w:tcPr>
            <w:tcW w:w="7178" w:type="dxa"/>
          </w:tcPr>
          <w:p w14:paraId="7BA5ACCF" w14:textId="7B5C5B5F" w:rsidR="00764E85" w:rsidRPr="00917A36" w:rsidRDefault="00764E85" w:rsidP="00F81C3C">
            <w:pPr>
              <w:rPr>
                <w:szCs w:val="20"/>
              </w:rPr>
            </w:pPr>
            <w:r w:rsidRPr="00917A36">
              <w:rPr>
                <w:szCs w:val="20"/>
              </w:rPr>
              <w:t>African Virtual University</w:t>
            </w:r>
          </w:p>
        </w:tc>
      </w:tr>
      <w:tr w:rsidR="00792FA1" w:rsidRPr="00917A36" w14:paraId="6A3D8A80" w14:textId="77777777" w:rsidTr="00D51097">
        <w:tc>
          <w:tcPr>
            <w:tcW w:w="1838" w:type="dxa"/>
          </w:tcPr>
          <w:p w14:paraId="4BD8CE38" w14:textId="09113B66" w:rsidR="00792FA1" w:rsidRPr="00917A36" w:rsidRDefault="00792FA1" w:rsidP="00F81C3C">
            <w:pPr>
              <w:rPr>
                <w:szCs w:val="20"/>
              </w:rPr>
            </w:pPr>
            <w:r w:rsidRPr="00917A36">
              <w:rPr>
                <w:szCs w:val="20"/>
              </w:rPr>
              <w:t>CC</w:t>
            </w:r>
          </w:p>
        </w:tc>
        <w:tc>
          <w:tcPr>
            <w:tcW w:w="7178" w:type="dxa"/>
          </w:tcPr>
          <w:p w14:paraId="576C2112" w14:textId="6DABA4BD" w:rsidR="00792FA1" w:rsidRPr="00917A36" w:rsidRDefault="00792FA1" w:rsidP="00F81C3C">
            <w:pPr>
              <w:rPr>
                <w:szCs w:val="20"/>
              </w:rPr>
            </w:pPr>
            <w:r w:rsidRPr="00917A36">
              <w:rPr>
                <w:szCs w:val="20"/>
              </w:rPr>
              <w:t>Creative Commons</w:t>
            </w:r>
          </w:p>
        </w:tc>
      </w:tr>
      <w:tr w:rsidR="00F81C3C" w:rsidRPr="00917A36" w14:paraId="13ECCED5" w14:textId="77777777" w:rsidTr="00D51097">
        <w:tc>
          <w:tcPr>
            <w:tcW w:w="1838" w:type="dxa"/>
          </w:tcPr>
          <w:p w14:paraId="6AA8737D" w14:textId="082F3E76" w:rsidR="00F81C3C" w:rsidRPr="00917A36" w:rsidRDefault="00D51097" w:rsidP="00F81C3C">
            <w:pPr>
              <w:rPr>
                <w:szCs w:val="20"/>
              </w:rPr>
            </w:pPr>
            <w:r w:rsidRPr="00917A36">
              <w:rPr>
                <w:szCs w:val="20"/>
              </w:rPr>
              <w:t>CPD</w:t>
            </w:r>
          </w:p>
        </w:tc>
        <w:tc>
          <w:tcPr>
            <w:tcW w:w="7178" w:type="dxa"/>
          </w:tcPr>
          <w:p w14:paraId="5B6384DC" w14:textId="177BEF17" w:rsidR="00F81C3C" w:rsidRPr="00917A36" w:rsidRDefault="00D51097" w:rsidP="00F81C3C">
            <w:pPr>
              <w:rPr>
                <w:szCs w:val="20"/>
              </w:rPr>
            </w:pPr>
            <w:r w:rsidRPr="00917A36">
              <w:rPr>
                <w:szCs w:val="20"/>
              </w:rPr>
              <w:t>Continuous Professional Development</w:t>
            </w:r>
          </w:p>
        </w:tc>
      </w:tr>
      <w:tr w:rsidR="00F45545" w:rsidRPr="00917A36" w14:paraId="6545E5A9" w14:textId="77777777" w:rsidTr="00D51097">
        <w:tc>
          <w:tcPr>
            <w:tcW w:w="1838" w:type="dxa"/>
          </w:tcPr>
          <w:p w14:paraId="4F62C2E2" w14:textId="309B18F3" w:rsidR="00F45545" w:rsidRPr="00917A36" w:rsidRDefault="00F45545" w:rsidP="00F81C3C">
            <w:pPr>
              <w:rPr>
                <w:szCs w:val="20"/>
              </w:rPr>
            </w:pPr>
            <w:r w:rsidRPr="00917A36">
              <w:rPr>
                <w:szCs w:val="20"/>
              </w:rPr>
              <w:t>FOSS</w:t>
            </w:r>
          </w:p>
        </w:tc>
        <w:tc>
          <w:tcPr>
            <w:tcW w:w="7178" w:type="dxa"/>
          </w:tcPr>
          <w:p w14:paraId="1ADB2C79" w14:textId="4918ED81" w:rsidR="00F45545" w:rsidRPr="00917A36" w:rsidRDefault="00F45545" w:rsidP="00F81C3C">
            <w:pPr>
              <w:rPr>
                <w:szCs w:val="20"/>
              </w:rPr>
            </w:pPr>
            <w:r w:rsidRPr="00917A36">
              <w:rPr>
                <w:rFonts w:cs="Open Sans"/>
                <w:color w:val="000000"/>
                <w:szCs w:val="20"/>
              </w:rPr>
              <w:t>Free and Open-Source Software</w:t>
            </w:r>
          </w:p>
        </w:tc>
      </w:tr>
      <w:tr w:rsidR="00F81C3C" w:rsidRPr="00917A36" w14:paraId="67185917" w14:textId="77777777" w:rsidTr="00D51097">
        <w:tc>
          <w:tcPr>
            <w:tcW w:w="1838" w:type="dxa"/>
          </w:tcPr>
          <w:p w14:paraId="7EC76BDC" w14:textId="6D5DDFA2" w:rsidR="00F81C3C" w:rsidRPr="00917A36" w:rsidRDefault="00D31861" w:rsidP="00F81C3C">
            <w:pPr>
              <w:rPr>
                <w:szCs w:val="20"/>
              </w:rPr>
            </w:pPr>
            <w:r w:rsidRPr="00917A36">
              <w:rPr>
                <w:szCs w:val="20"/>
              </w:rPr>
              <w:t>ICDE</w:t>
            </w:r>
          </w:p>
        </w:tc>
        <w:tc>
          <w:tcPr>
            <w:tcW w:w="7178" w:type="dxa"/>
          </w:tcPr>
          <w:p w14:paraId="4381D6C0" w14:textId="203234A2" w:rsidR="00F81C3C" w:rsidRPr="00917A36" w:rsidRDefault="00D31861" w:rsidP="00F81C3C">
            <w:pPr>
              <w:rPr>
                <w:szCs w:val="20"/>
              </w:rPr>
            </w:pPr>
            <w:r w:rsidRPr="00917A36">
              <w:rPr>
                <w:szCs w:val="20"/>
                <w:lang w:val="en-GB"/>
              </w:rPr>
              <w:t>The International Council for Open and Distance Education</w:t>
            </w:r>
          </w:p>
        </w:tc>
      </w:tr>
      <w:tr w:rsidR="0031237E" w:rsidRPr="00917A36" w14:paraId="5BCD4EFE" w14:textId="77777777" w:rsidTr="00D51097">
        <w:tc>
          <w:tcPr>
            <w:tcW w:w="1838" w:type="dxa"/>
          </w:tcPr>
          <w:p w14:paraId="7B3F41E0" w14:textId="61000C47" w:rsidR="0031237E" w:rsidRPr="00917A36" w:rsidRDefault="0031237E" w:rsidP="00F81C3C">
            <w:pPr>
              <w:rPr>
                <w:szCs w:val="20"/>
              </w:rPr>
            </w:pPr>
            <w:r w:rsidRPr="00917A36">
              <w:rPr>
                <w:szCs w:val="20"/>
              </w:rPr>
              <w:t>ISKME</w:t>
            </w:r>
          </w:p>
        </w:tc>
        <w:tc>
          <w:tcPr>
            <w:tcW w:w="7178" w:type="dxa"/>
          </w:tcPr>
          <w:p w14:paraId="44CF3266" w14:textId="59E3EF36" w:rsidR="0031237E" w:rsidRPr="00917A36" w:rsidRDefault="0031237E" w:rsidP="00F81C3C">
            <w:pPr>
              <w:rPr>
                <w:szCs w:val="20"/>
                <w:lang w:val="en-GB"/>
              </w:rPr>
            </w:pPr>
            <w:r w:rsidRPr="00917A36">
              <w:rPr>
                <w:szCs w:val="20"/>
              </w:rPr>
              <w:t>Institute for the Study of Knowledge Management in Education</w:t>
            </w:r>
          </w:p>
        </w:tc>
      </w:tr>
      <w:tr w:rsidR="00F82CB9" w:rsidRPr="00917A36" w14:paraId="1B45B149" w14:textId="77777777" w:rsidTr="00D51097">
        <w:tc>
          <w:tcPr>
            <w:tcW w:w="1838" w:type="dxa"/>
          </w:tcPr>
          <w:p w14:paraId="4A0B7F81" w14:textId="7635D1E3" w:rsidR="00F82CB9" w:rsidRPr="00917A36" w:rsidRDefault="00F82CB9" w:rsidP="00F81C3C">
            <w:pPr>
              <w:rPr>
                <w:szCs w:val="20"/>
              </w:rPr>
            </w:pPr>
            <w:proofErr w:type="spellStart"/>
            <w:r w:rsidRPr="00917A36">
              <w:rPr>
                <w:szCs w:val="20"/>
              </w:rPr>
              <w:t>LiDA</w:t>
            </w:r>
            <w:proofErr w:type="spellEnd"/>
          </w:p>
        </w:tc>
        <w:tc>
          <w:tcPr>
            <w:tcW w:w="7178" w:type="dxa"/>
          </w:tcPr>
          <w:p w14:paraId="36274318" w14:textId="3656211B" w:rsidR="00F82CB9" w:rsidRPr="00917A36" w:rsidRDefault="00F82CB9" w:rsidP="00F81C3C">
            <w:pPr>
              <w:rPr>
                <w:szCs w:val="20"/>
              </w:rPr>
            </w:pPr>
            <w:r w:rsidRPr="00917A36">
              <w:rPr>
                <w:szCs w:val="20"/>
              </w:rPr>
              <w:t>Learning in a Digital Age</w:t>
            </w:r>
          </w:p>
        </w:tc>
      </w:tr>
      <w:tr w:rsidR="00F81C3C" w:rsidRPr="00917A36" w14:paraId="54573B62" w14:textId="77777777" w:rsidTr="00D51097">
        <w:tc>
          <w:tcPr>
            <w:tcW w:w="1838" w:type="dxa"/>
          </w:tcPr>
          <w:p w14:paraId="2C1EC34A" w14:textId="02C776BC" w:rsidR="00F81C3C" w:rsidRPr="00917A36" w:rsidRDefault="00D51097" w:rsidP="00F81C3C">
            <w:pPr>
              <w:rPr>
                <w:szCs w:val="20"/>
              </w:rPr>
            </w:pPr>
            <w:r w:rsidRPr="00917A36">
              <w:rPr>
                <w:szCs w:val="20"/>
              </w:rPr>
              <w:t>MIT</w:t>
            </w:r>
          </w:p>
        </w:tc>
        <w:tc>
          <w:tcPr>
            <w:tcW w:w="7178" w:type="dxa"/>
          </w:tcPr>
          <w:p w14:paraId="3336B1FE" w14:textId="3922C33E" w:rsidR="00F81C3C" w:rsidRPr="00917A36" w:rsidRDefault="00D51097" w:rsidP="00F81C3C">
            <w:pPr>
              <w:rPr>
                <w:szCs w:val="20"/>
              </w:rPr>
            </w:pPr>
            <w:r w:rsidRPr="00917A36">
              <w:rPr>
                <w:szCs w:val="20"/>
              </w:rPr>
              <w:t>Massachusetts Institute of Technology</w:t>
            </w:r>
          </w:p>
        </w:tc>
      </w:tr>
      <w:tr w:rsidR="00F81C3C" w:rsidRPr="00917A36" w14:paraId="23D4D2BA" w14:textId="77777777" w:rsidTr="00D51097">
        <w:tc>
          <w:tcPr>
            <w:tcW w:w="1838" w:type="dxa"/>
          </w:tcPr>
          <w:p w14:paraId="318DFDD6" w14:textId="7176579E" w:rsidR="00F81C3C" w:rsidRPr="00917A36" w:rsidRDefault="00F81C3C" w:rsidP="00F81C3C">
            <w:pPr>
              <w:rPr>
                <w:szCs w:val="20"/>
              </w:rPr>
            </w:pPr>
            <w:r w:rsidRPr="00917A36">
              <w:rPr>
                <w:szCs w:val="20"/>
              </w:rPr>
              <w:t>NGO</w:t>
            </w:r>
          </w:p>
        </w:tc>
        <w:tc>
          <w:tcPr>
            <w:tcW w:w="7178" w:type="dxa"/>
          </w:tcPr>
          <w:p w14:paraId="2F4FCF6A" w14:textId="1BD522CF" w:rsidR="00F81C3C" w:rsidRPr="00917A36" w:rsidRDefault="00F81C3C" w:rsidP="00F81C3C">
            <w:pPr>
              <w:rPr>
                <w:szCs w:val="20"/>
              </w:rPr>
            </w:pPr>
            <w:r w:rsidRPr="00917A36">
              <w:rPr>
                <w:szCs w:val="20"/>
              </w:rPr>
              <w:t>Non-governmental organization</w:t>
            </w:r>
          </w:p>
        </w:tc>
      </w:tr>
      <w:tr w:rsidR="00F81C3C" w:rsidRPr="00917A36" w14:paraId="6ACEC2E1" w14:textId="77777777" w:rsidTr="00D51097">
        <w:tc>
          <w:tcPr>
            <w:tcW w:w="1838" w:type="dxa"/>
          </w:tcPr>
          <w:p w14:paraId="36A4EC68" w14:textId="0E1A4DB8" w:rsidR="00F81C3C" w:rsidRPr="00917A36" w:rsidRDefault="00D51097" w:rsidP="00F81C3C">
            <w:pPr>
              <w:rPr>
                <w:szCs w:val="20"/>
              </w:rPr>
            </w:pPr>
            <w:r w:rsidRPr="00917A36">
              <w:rPr>
                <w:szCs w:val="20"/>
              </w:rPr>
              <w:t>OER</w:t>
            </w:r>
          </w:p>
        </w:tc>
        <w:tc>
          <w:tcPr>
            <w:tcW w:w="7178" w:type="dxa"/>
          </w:tcPr>
          <w:p w14:paraId="700E2C84" w14:textId="5C4F522A" w:rsidR="00F81C3C" w:rsidRPr="00917A36" w:rsidRDefault="00D51097" w:rsidP="00F81C3C">
            <w:pPr>
              <w:rPr>
                <w:szCs w:val="20"/>
              </w:rPr>
            </w:pPr>
            <w:r w:rsidRPr="00917A36">
              <w:rPr>
                <w:szCs w:val="20"/>
              </w:rPr>
              <w:t>Open Educational Resources</w:t>
            </w:r>
          </w:p>
        </w:tc>
      </w:tr>
      <w:tr w:rsidR="00F81C3C" w:rsidRPr="00917A36" w14:paraId="26ECB097" w14:textId="77777777" w:rsidTr="00D51097">
        <w:tc>
          <w:tcPr>
            <w:tcW w:w="1838" w:type="dxa"/>
          </w:tcPr>
          <w:p w14:paraId="1917268E" w14:textId="2B02970C" w:rsidR="00F81C3C" w:rsidRPr="00917A36" w:rsidRDefault="0097181C" w:rsidP="00F81C3C">
            <w:pPr>
              <w:rPr>
                <w:szCs w:val="20"/>
              </w:rPr>
            </w:pPr>
            <w:r w:rsidRPr="00917A36">
              <w:rPr>
                <w:szCs w:val="20"/>
              </w:rPr>
              <w:t>OERAC</w:t>
            </w:r>
          </w:p>
        </w:tc>
        <w:tc>
          <w:tcPr>
            <w:tcW w:w="7178" w:type="dxa"/>
          </w:tcPr>
          <w:p w14:paraId="282ECFF5" w14:textId="0651CEA4" w:rsidR="00F81C3C" w:rsidRPr="00917A36" w:rsidRDefault="0097181C" w:rsidP="00F81C3C">
            <w:pPr>
              <w:rPr>
                <w:szCs w:val="20"/>
              </w:rPr>
            </w:pPr>
            <w:r w:rsidRPr="00917A36">
              <w:rPr>
                <w:szCs w:val="20"/>
              </w:rPr>
              <w:t>Open Educational Resources</w:t>
            </w:r>
            <w:r w:rsidRPr="00917A36">
              <w:rPr>
                <w:szCs w:val="20"/>
                <w:lang w:val="en-GB"/>
              </w:rPr>
              <w:t xml:space="preserve"> Advocacy Committee</w:t>
            </w:r>
          </w:p>
        </w:tc>
      </w:tr>
      <w:tr w:rsidR="00F81C3C" w:rsidRPr="00917A36" w14:paraId="4D394AB5" w14:textId="77777777" w:rsidTr="00D51097">
        <w:tc>
          <w:tcPr>
            <w:tcW w:w="1838" w:type="dxa"/>
          </w:tcPr>
          <w:p w14:paraId="613F4860" w14:textId="2BE1718F" w:rsidR="00F81C3C" w:rsidRPr="00917A36" w:rsidRDefault="00F82CB9" w:rsidP="00F81C3C">
            <w:pPr>
              <w:rPr>
                <w:szCs w:val="20"/>
              </w:rPr>
            </w:pPr>
            <w:r w:rsidRPr="00917A36">
              <w:rPr>
                <w:szCs w:val="20"/>
              </w:rPr>
              <w:t>OERF</w:t>
            </w:r>
          </w:p>
        </w:tc>
        <w:tc>
          <w:tcPr>
            <w:tcW w:w="7178" w:type="dxa"/>
          </w:tcPr>
          <w:p w14:paraId="53C87B91" w14:textId="02CE577D" w:rsidR="00F81C3C" w:rsidRPr="00917A36" w:rsidRDefault="00F82CB9" w:rsidP="00F81C3C">
            <w:pPr>
              <w:rPr>
                <w:szCs w:val="20"/>
              </w:rPr>
            </w:pPr>
            <w:r w:rsidRPr="00917A36">
              <w:rPr>
                <w:rFonts w:cs="Open Sans"/>
                <w:color w:val="000000"/>
                <w:szCs w:val="20"/>
              </w:rPr>
              <w:t>Open Education Resource Foundation</w:t>
            </w:r>
          </w:p>
        </w:tc>
      </w:tr>
      <w:tr w:rsidR="00815EF6" w:rsidRPr="00917A36" w14:paraId="3EA02BAD" w14:textId="77777777" w:rsidTr="00D51097">
        <w:tc>
          <w:tcPr>
            <w:tcW w:w="1838" w:type="dxa"/>
          </w:tcPr>
          <w:p w14:paraId="299F2A6A" w14:textId="542BDAA1" w:rsidR="00815EF6" w:rsidRPr="00917A36" w:rsidRDefault="00815EF6" w:rsidP="00F81C3C">
            <w:pPr>
              <w:rPr>
                <w:szCs w:val="20"/>
              </w:rPr>
            </w:pPr>
            <w:r w:rsidRPr="00917A36">
              <w:rPr>
                <w:szCs w:val="20"/>
              </w:rPr>
              <w:t>TAACCCT</w:t>
            </w:r>
          </w:p>
        </w:tc>
        <w:tc>
          <w:tcPr>
            <w:tcW w:w="7178" w:type="dxa"/>
          </w:tcPr>
          <w:p w14:paraId="5A2AFFB2" w14:textId="316F2895" w:rsidR="00815EF6" w:rsidRPr="00917A36" w:rsidRDefault="00815EF6" w:rsidP="00F81C3C">
            <w:pPr>
              <w:rPr>
                <w:rFonts w:cs="Open Sans"/>
                <w:color w:val="000000"/>
                <w:szCs w:val="20"/>
              </w:rPr>
            </w:pPr>
            <w:r w:rsidRPr="00917A36">
              <w:rPr>
                <w:rFonts w:cs="Open Sans"/>
                <w:color w:val="000000"/>
                <w:szCs w:val="20"/>
              </w:rPr>
              <w:t>Trade Adjustment Assistance Community College and Career Training</w:t>
            </w:r>
          </w:p>
        </w:tc>
      </w:tr>
      <w:tr w:rsidR="00C02AB1" w:rsidRPr="00917A36" w14:paraId="451CEC35" w14:textId="77777777" w:rsidTr="00D51097">
        <w:tc>
          <w:tcPr>
            <w:tcW w:w="1838" w:type="dxa"/>
          </w:tcPr>
          <w:p w14:paraId="25E3C172" w14:textId="3ECA8104" w:rsidR="00C02AB1" w:rsidRPr="00917A36" w:rsidRDefault="00C02AB1" w:rsidP="00F81C3C">
            <w:pPr>
              <w:rPr>
                <w:szCs w:val="20"/>
              </w:rPr>
            </w:pPr>
            <w:r w:rsidRPr="00917A36">
              <w:rPr>
                <w:szCs w:val="20"/>
              </w:rPr>
              <w:t>TESS-India</w:t>
            </w:r>
          </w:p>
        </w:tc>
        <w:tc>
          <w:tcPr>
            <w:tcW w:w="7178" w:type="dxa"/>
          </w:tcPr>
          <w:p w14:paraId="2D80E6A4" w14:textId="0DF8463E" w:rsidR="00C02AB1" w:rsidRPr="00917A36" w:rsidRDefault="00C02AB1" w:rsidP="00F81C3C">
            <w:pPr>
              <w:rPr>
                <w:rFonts w:cs="Open Sans"/>
                <w:color w:val="000000"/>
                <w:szCs w:val="20"/>
              </w:rPr>
            </w:pPr>
            <w:r w:rsidRPr="00917A36">
              <w:rPr>
                <w:rFonts w:cs="Open Sans"/>
                <w:color w:val="000000"/>
                <w:szCs w:val="20"/>
              </w:rPr>
              <w:t>Teacher Education through School-based Support – India</w:t>
            </w:r>
          </w:p>
        </w:tc>
      </w:tr>
      <w:tr w:rsidR="001A3DAD" w:rsidRPr="00917A36" w14:paraId="7A2C9E9B" w14:textId="77777777" w:rsidTr="00D51097">
        <w:tc>
          <w:tcPr>
            <w:tcW w:w="1838" w:type="dxa"/>
          </w:tcPr>
          <w:p w14:paraId="1A663556" w14:textId="3B98392B" w:rsidR="001A3DAD" w:rsidRPr="00917A36" w:rsidRDefault="001A3DAD" w:rsidP="00F81C3C">
            <w:pPr>
              <w:rPr>
                <w:szCs w:val="20"/>
              </w:rPr>
            </w:pPr>
            <w:r w:rsidRPr="00917A36">
              <w:rPr>
                <w:szCs w:val="20"/>
              </w:rPr>
              <w:t>ZTC Degree</w:t>
            </w:r>
          </w:p>
        </w:tc>
        <w:tc>
          <w:tcPr>
            <w:tcW w:w="7178" w:type="dxa"/>
          </w:tcPr>
          <w:p w14:paraId="5E18D83E" w14:textId="3B7E966D" w:rsidR="001A3DAD" w:rsidRPr="00917A36" w:rsidRDefault="001A3DAD" w:rsidP="00F81C3C">
            <w:pPr>
              <w:rPr>
                <w:rFonts w:cs="Open Sans"/>
                <w:color w:val="000000"/>
                <w:szCs w:val="20"/>
              </w:rPr>
            </w:pPr>
            <w:r w:rsidRPr="00917A36">
              <w:rPr>
                <w:rFonts w:cs="Open Sans"/>
                <w:color w:val="000000"/>
                <w:szCs w:val="20"/>
              </w:rPr>
              <w:t>Zero textbook cost degree</w:t>
            </w:r>
          </w:p>
        </w:tc>
      </w:tr>
    </w:tbl>
    <w:p w14:paraId="2001F6BD" w14:textId="77777777" w:rsidR="00F81C3C" w:rsidRPr="00F81C3C" w:rsidRDefault="00F81C3C" w:rsidP="00F81C3C"/>
    <w:p w14:paraId="6216CCC9" w14:textId="77777777" w:rsidR="00BC346F" w:rsidRDefault="00BC346F" w:rsidP="00BC346F">
      <w:pPr>
        <w:pStyle w:val="Heading2"/>
        <w:sectPr w:rsidR="00BC346F" w:rsidSect="000D5FC9">
          <w:footerReference w:type="first" r:id="rId21"/>
          <w:pgSz w:w="11906" w:h="16838"/>
          <w:pgMar w:top="1440" w:right="1440" w:bottom="1440" w:left="1440" w:header="709" w:footer="709" w:gutter="0"/>
          <w:cols w:space="708"/>
          <w:titlePg/>
          <w:docGrid w:linePitch="360"/>
        </w:sectPr>
      </w:pPr>
    </w:p>
    <w:p w14:paraId="7E8A13D7" w14:textId="3A383A4A" w:rsidR="00BC346F" w:rsidRPr="00BC346F" w:rsidRDefault="003844D9" w:rsidP="00BC346F">
      <w:pPr>
        <w:pStyle w:val="Heading2"/>
      </w:pPr>
      <w:r>
        <w:lastRenderedPageBreak/>
        <w:t>Introduction</w:t>
      </w:r>
    </w:p>
    <w:p w14:paraId="7A9B7886" w14:textId="41879446" w:rsidR="005B35CE" w:rsidRDefault="00B10C6B" w:rsidP="00B10C6B">
      <w:r w:rsidRPr="00B10C6B">
        <w:t>While education systems around the world have made significant gains over the past two decades, they continue to face several challenges – particularly in the developing world. These include unequal access to educational opportunities, the variable quality of educational resources, and below par or inconsistent learner outcomes</w:t>
      </w:r>
      <w:r w:rsidR="005B35CE" w:rsidRPr="00B10C6B">
        <w:rPr>
          <w:vertAlign w:val="superscript"/>
        </w:rPr>
        <w:endnoteReference w:id="2"/>
      </w:r>
      <w:r w:rsidR="005B35CE" w:rsidRPr="00B10C6B">
        <w:t>,</w:t>
      </w:r>
      <w:r w:rsidR="005B35CE" w:rsidRPr="00B10C6B">
        <w:rPr>
          <w:vertAlign w:val="superscript"/>
        </w:rPr>
        <w:endnoteReference w:id="3"/>
      </w:r>
      <w:r w:rsidR="005B35CE" w:rsidRPr="00B10C6B">
        <w:t>,</w:t>
      </w:r>
      <w:r w:rsidR="005B35CE" w:rsidRPr="00B10C6B">
        <w:rPr>
          <w:vertAlign w:val="superscript"/>
        </w:rPr>
        <w:endnoteReference w:id="4"/>
      </w:r>
      <w:r w:rsidR="005B35CE" w:rsidRPr="00B10C6B">
        <w:t>. The recent COVID-19 pandemic has brought these challenges into stark view, and even exacerbated them in some cases</w:t>
      </w:r>
      <w:r w:rsidR="005B35CE" w:rsidRPr="00B10C6B">
        <w:rPr>
          <w:vertAlign w:val="superscript"/>
        </w:rPr>
        <w:endnoteReference w:id="5"/>
      </w:r>
      <w:r w:rsidR="005B35CE" w:rsidRPr="00B10C6B">
        <w:t>,</w:t>
      </w:r>
      <w:r w:rsidR="005B35CE" w:rsidRPr="00B10C6B">
        <w:rPr>
          <w:vertAlign w:val="superscript"/>
        </w:rPr>
        <w:endnoteReference w:id="6"/>
      </w:r>
      <w:r w:rsidR="005B35CE" w:rsidRPr="00B10C6B">
        <w:t xml:space="preserve">. Open Educational Resources (OER) offer viable solutions to many of these issues. Although the concept of OER emerged in the Global North through initiatives like the Massachusetts Institute of Technology’s (MIT’s) </w:t>
      </w:r>
      <w:hyperlink r:id="rId22" w:history="1">
        <w:proofErr w:type="spellStart"/>
        <w:r w:rsidR="005B35CE" w:rsidRPr="00B10C6B">
          <w:rPr>
            <w:rStyle w:val="Hyperlink"/>
          </w:rPr>
          <w:t>MITOpenCourseWare</w:t>
        </w:r>
        <w:proofErr w:type="spellEnd"/>
      </w:hyperlink>
      <w:r w:rsidR="005B35CE" w:rsidRPr="00B10C6B">
        <w:t xml:space="preserve"> initiative in 2001, OER are gaining traction globally, with an increasing number of OER initiatives that are expanding capacity in key areas such as OER advocacy, practice and research.</w:t>
      </w:r>
    </w:p>
    <w:p w14:paraId="2068337E" w14:textId="77777777" w:rsidR="005B35CE" w:rsidRDefault="005B35CE" w:rsidP="00B10C6B"/>
    <w:p w14:paraId="78170DC9" w14:textId="77777777" w:rsidR="005B35CE" w:rsidRDefault="005B35CE" w:rsidP="00986EAA">
      <w:pPr>
        <w:keepNext/>
        <w:jc w:val="center"/>
      </w:pPr>
      <w:r>
        <w:rPr>
          <w:rFonts w:cs="Arial"/>
          <w:b/>
          <w:bCs/>
          <w:iCs/>
          <w:noProof/>
          <w:color w:val="BF2040"/>
          <w:sz w:val="36"/>
          <w:szCs w:val="32"/>
        </w:rPr>
        <w:drawing>
          <wp:inline distT="0" distB="0" distL="0" distR="0" wp14:anchorId="124BF581" wp14:editId="43CC342F">
            <wp:extent cx="4426102" cy="2950735"/>
            <wp:effectExtent l="50800" t="50800" r="44450" b="469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433083" cy="2955389"/>
                    </a:xfrm>
                    <a:prstGeom prst="rect">
                      <a:avLst/>
                    </a:prstGeom>
                    <a:ln w="41275">
                      <a:solidFill>
                        <a:schemeClr val="accent5">
                          <a:lumMod val="20000"/>
                          <a:lumOff val="80000"/>
                        </a:schemeClr>
                      </a:solidFill>
                    </a:ln>
                  </pic:spPr>
                </pic:pic>
              </a:graphicData>
            </a:graphic>
          </wp:inline>
        </w:drawing>
      </w:r>
    </w:p>
    <w:p w14:paraId="72CE6C1B" w14:textId="600864FF" w:rsidR="005B35CE" w:rsidRPr="00B10C6B" w:rsidRDefault="005B35CE" w:rsidP="00986EAA">
      <w:pPr>
        <w:pStyle w:val="Caption"/>
        <w:jc w:val="center"/>
        <w:rPr>
          <w:sz w:val="18"/>
        </w:rPr>
      </w:pPr>
      <w:r w:rsidRPr="00986EAA">
        <w:rPr>
          <w:sz w:val="18"/>
        </w:rPr>
        <w:t xml:space="preserve">Figure </w:t>
      </w:r>
      <w:r w:rsidRPr="00986EAA">
        <w:rPr>
          <w:sz w:val="18"/>
        </w:rPr>
        <w:fldChar w:fldCharType="begin"/>
      </w:r>
      <w:r w:rsidRPr="00986EAA">
        <w:rPr>
          <w:sz w:val="18"/>
        </w:rPr>
        <w:instrText xml:space="preserve"> SEQ Figure \* ARABIC </w:instrText>
      </w:r>
      <w:r w:rsidRPr="00986EAA">
        <w:rPr>
          <w:sz w:val="18"/>
        </w:rPr>
        <w:fldChar w:fldCharType="separate"/>
      </w:r>
      <w:r w:rsidRPr="00986EAA">
        <w:rPr>
          <w:noProof/>
          <w:sz w:val="18"/>
        </w:rPr>
        <w:t>1</w:t>
      </w:r>
      <w:r w:rsidRPr="00986EAA">
        <w:rPr>
          <w:sz w:val="18"/>
        </w:rPr>
        <w:fldChar w:fldCharType="end"/>
      </w:r>
      <w:r w:rsidRPr="00986EAA">
        <w:rPr>
          <w:sz w:val="18"/>
        </w:rPr>
        <w:t xml:space="preserve"> Image courtesy of Mars Sector-6, </w:t>
      </w:r>
      <w:hyperlink r:id="rId24" w:history="1">
        <w:proofErr w:type="spellStart"/>
        <w:r w:rsidRPr="0064280A">
          <w:rPr>
            <w:rStyle w:val="Hyperlink"/>
            <w:sz w:val="18"/>
          </w:rPr>
          <w:t>Unsplash</w:t>
        </w:r>
        <w:proofErr w:type="spellEnd"/>
      </w:hyperlink>
      <w:r>
        <w:rPr>
          <w:sz w:val="18"/>
        </w:rPr>
        <w:t xml:space="preserve"> (</w:t>
      </w:r>
      <w:proofErr w:type="spellStart"/>
      <w:r>
        <w:rPr>
          <w:sz w:val="18"/>
        </w:rPr>
        <w:fldChar w:fldCharType="begin"/>
      </w:r>
      <w:r>
        <w:rPr>
          <w:sz w:val="18"/>
        </w:rPr>
        <w:instrText xml:space="preserve"> HYPERLINK "https://unsplash.com/license" </w:instrText>
      </w:r>
      <w:r>
        <w:rPr>
          <w:sz w:val="18"/>
        </w:rPr>
        <w:fldChar w:fldCharType="separate"/>
      </w:r>
      <w:r w:rsidRPr="00975712">
        <w:rPr>
          <w:rStyle w:val="Hyperlink"/>
          <w:sz w:val="18"/>
        </w:rPr>
        <w:t>Unsplash</w:t>
      </w:r>
      <w:proofErr w:type="spellEnd"/>
      <w:r w:rsidRPr="00975712">
        <w:rPr>
          <w:rStyle w:val="Hyperlink"/>
          <w:sz w:val="18"/>
        </w:rPr>
        <w:t xml:space="preserve"> licence</w:t>
      </w:r>
      <w:r>
        <w:rPr>
          <w:sz w:val="18"/>
        </w:rPr>
        <w:fldChar w:fldCharType="end"/>
      </w:r>
      <w:r>
        <w:rPr>
          <w:sz w:val="18"/>
        </w:rPr>
        <w:t>)</w:t>
      </w:r>
    </w:p>
    <w:p w14:paraId="3F4FE82B" w14:textId="77777777" w:rsidR="005B35CE" w:rsidRPr="00B10C6B" w:rsidRDefault="005B35CE" w:rsidP="00B10C6B">
      <w:r w:rsidRPr="00B10C6B">
        <w:t>Advocates promote OER for its benefits, including increasing access to educational materials; improving scalability and circulation of resources; and providing the opportunity to adapt resources to suit learners’ needs and contexts</w:t>
      </w:r>
      <w:r w:rsidRPr="00B10C6B">
        <w:rPr>
          <w:vertAlign w:val="superscript"/>
        </w:rPr>
        <w:endnoteReference w:id="7"/>
      </w:r>
      <w:r w:rsidRPr="00B10C6B">
        <w:t>,</w:t>
      </w:r>
      <w:r w:rsidRPr="00B10C6B">
        <w:rPr>
          <w:vertAlign w:val="superscript"/>
        </w:rPr>
        <w:endnoteReference w:id="8"/>
      </w:r>
      <w:r w:rsidRPr="00B10C6B">
        <w:t>. However, ongoing research and evidence is required to gain a comprehensive, measured understanding of such benefits.</w:t>
      </w:r>
    </w:p>
    <w:p w14:paraId="778A9D46" w14:textId="77777777" w:rsidR="005B35CE" w:rsidRPr="00B10C6B" w:rsidRDefault="005B35CE" w:rsidP="00B10C6B"/>
    <w:p w14:paraId="1BC0769A" w14:textId="7394C793" w:rsidR="005B35CE" w:rsidRPr="00B10C6B" w:rsidRDefault="005B35CE" w:rsidP="00B10C6B">
      <w:r w:rsidRPr="00B10C6B">
        <w:t>Within this context, OER Africa coordinated a project for the Network of Open Orgs.</w:t>
      </w:r>
      <w:r w:rsidR="00E66445">
        <w:rPr>
          <w:rStyle w:val="FootnoteReference"/>
        </w:rPr>
        <w:footnoteReference w:id="2"/>
      </w:r>
      <w:r w:rsidRPr="00B10C6B">
        <w:t xml:space="preserve"> The project involved a collaborative effort among several members of the Network to develop a set of seven case study summaries that collectively explored the success of OER and highlighted the implications of these initiatives for Continuous Professional Development (CPD) for OER practices.</w:t>
      </w:r>
    </w:p>
    <w:p w14:paraId="4192A246" w14:textId="77777777" w:rsidR="005B35CE" w:rsidRPr="00B10C6B" w:rsidRDefault="005B35CE" w:rsidP="00B10C6B"/>
    <w:p w14:paraId="0ED141E0" w14:textId="16B8E19A" w:rsidR="005B35CE" w:rsidRPr="00986EAA" w:rsidRDefault="005B35CE" w:rsidP="00B10C6B">
      <w:r w:rsidRPr="00B10C6B">
        <w:t>The case studies were analysed to produce a set of key findings for this summary report.</w:t>
      </w:r>
    </w:p>
    <w:p w14:paraId="03E40C76" w14:textId="04994017" w:rsidR="005B35CE" w:rsidRPr="00CF5F42" w:rsidRDefault="005B35CE" w:rsidP="00965205">
      <w:pPr>
        <w:pStyle w:val="Heading2"/>
      </w:pPr>
      <w:r>
        <w:lastRenderedPageBreak/>
        <w:t>Research design</w:t>
      </w:r>
    </w:p>
    <w:p w14:paraId="64C6C68F" w14:textId="77777777" w:rsidR="005B35CE" w:rsidRPr="006565C9" w:rsidRDefault="005B35CE" w:rsidP="006565C9">
      <w:r w:rsidRPr="006565C9">
        <w:t>The research involved a review of OER-related publications and material to develop corresponding case study summaries with a view to identifying best practices in four key areas:</w:t>
      </w:r>
    </w:p>
    <w:p w14:paraId="38BC4287" w14:textId="77777777" w:rsidR="005B35CE" w:rsidRPr="006565C9" w:rsidRDefault="005B35CE" w:rsidP="006565C9">
      <w:pPr>
        <w:numPr>
          <w:ilvl w:val="0"/>
          <w:numId w:val="28"/>
        </w:numPr>
        <w:tabs>
          <w:tab w:val="clear" w:pos="360"/>
          <w:tab w:val="num" w:pos="720"/>
        </w:tabs>
      </w:pPr>
      <w:r w:rsidRPr="006565C9">
        <w:rPr>
          <w:b/>
          <w:bCs/>
        </w:rPr>
        <w:t>Access</w:t>
      </w:r>
      <w:r w:rsidRPr="006565C9">
        <w:t>: Examples of how OER can assist in increasing access to education and educational materials;</w:t>
      </w:r>
    </w:p>
    <w:p w14:paraId="29510212" w14:textId="77777777" w:rsidR="005B35CE" w:rsidRPr="006565C9" w:rsidRDefault="005B35CE" w:rsidP="006565C9">
      <w:pPr>
        <w:numPr>
          <w:ilvl w:val="0"/>
          <w:numId w:val="28"/>
        </w:numPr>
        <w:tabs>
          <w:tab w:val="clear" w:pos="360"/>
          <w:tab w:val="num" w:pos="720"/>
        </w:tabs>
      </w:pPr>
      <w:r w:rsidRPr="006565C9">
        <w:rPr>
          <w:b/>
          <w:bCs/>
        </w:rPr>
        <w:t>Outcomes</w:t>
      </w:r>
      <w:r w:rsidRPr="006565C9">
        <w:t>: Cases where OER have helped to improve learner outcomes;</w:t>
      </w:r>
    </w:p>
    <w:p w14:paraId="23C93BE4" w14:textId="77777777" w:rsidR="005B35CE" w:rsidRPr="006565C9" w:rsidRDefault="005B35CE" w:rsidP="006565C9">
      <w:pPr>
        <w:numPr>
          <w:ilvl w:val="0"/>
          <w:numId w:val="28"/>
        </w:numPr>
        <w:tabs>
          <w:tab w:val="clear" w:pos="360"/>
          <w:tab w:val="num" w:pos="720"/>
        </w:tabs>
      </w:pPr>
      <w:r w:rsidRPr="006565C9">
        <w:rPr>
          <w:b/>
          <w:bCs/>
        </w:rPr>
        <w:t>Costs</w:t>
      </w:r>
      <w:r w:rsidRPr="006565C9">
        <w:t>: Instances where OER have been used effectively to reduce costs; and</w:t>
      </w:r>
    </w:p>
    <w:p w14:paraId="7A0B5B03" w14:textId="77777777" w:rsidR="005B35CE" w:rsidRPr="006565C9" w:rsidRDefault="005B35CE" w:rsidP="006565C9">
      <w:pPr>
        <w:numPr>
          <w:ilvl w:val="0"/>
          <w:numId w:val="28"/>
        </w:numPr>
        <w:tabs>
          <w:tab w:val="clear" w:pos="360"/>
          <w:tab w:val="num" w:pos="720"/>
        </w:tabs>
      </w:pPr>
      <w:r w:rsidRPr="006565C9">
        <w:rPr>
          <w:b/>
          <w:bCs/>
        </w:rPr>
        <w:t>CPD</w:t>
      </w:r>
      <w:r w:rsidRPr="006565C9">
        <w:t>: Cases of CPD activities related to OER, together with areas where capacity building is required and by whom.</w:t>
      </w:r>
    </w:p>
    <w:p w14:paraId="20AF8358" w14:textId="77777777" w:rsidR="005B35CE" w:rsidRPr="006565C9" w:rsidRDefault="005B35CE" w:rsidP="006565C9"/>
    <w:p w14:paraId="084E8730" w14:textId="2EF9FA07" w:rsidR="005B35CE" w:rsidRPr="006565C9" w:rsidRDefault="005B35CE" w:rsidP="006565C9">
      <w:r w:rsidRPr="006565C9">
        <w:t>Using a comprehensive literature review, the project team compiled a list of 27 potential case studies, each of which had a verifiable evidence base (for example, a dataset or research report). In selecting initiatives, the team considered two elements: first, the scope of each initiative and whether there was sufficient</w:t>
      </w:r>
      <w:r w:rsidR="00FA1D0C">
        <w:t xml:space="preserve"> publicly available</w:t>
      </w:r>
      <w:r w:rsidRPr="006565C9">
        <w:t xml:space="preserve"> information available</w:t>
      </w:r>
      <w:r w:rsidR="00FA1D0C">
        <w:t xml:space="preserve"> </w:t>
      </w:r>
      <w:r w:rsidRPr="006565C9">
        <w:t>to review it (or whether the information was easily accessible through a representative); and second, how diverse the spread of initiatives was in the overarching research sample.</w:t>
      </w:r>
    </w:p>
    <w:p w14:paraId="47A4E31A" w14:textId="41CF98BE" w:rsidR="005B35CE" w:rsidRPr="006565C9" w:rsidRDefault="005B35CE" w:rsidP="006565C9">
      <w:r>
        <w:rPr>
          <w:noProof/>
        </w:rPr>
        <mc:AlternateContent>
          <mc:Choice Requires="wps">
            <w:drawing>
              <wp:anchor distT="0" distB="0" distL="114300" distR="114300" simplePos="0" relativeHeight="251658242" behindDoc="1" locked="0" layoutInCell="1" allowOverlap="1" wp14:anchorId="45BF7E85" wp14:editId="130D3AF3">
                <wp:simplePos x="0" y="0"/>
                <wp:positionH relativeFrom="column">
                  <wp:posOffset>-914400</wp:posOffset>
                </wp:positionH>
                <wp:positionV relativeFrom="paragraph">
                  <wp:posOffset>47676</wp:posOffset>
                </wp:positionV>
                <wp:extent cx="7580630" cy="3087014"/>
                <wp:effectExtent l="0" t="0" r="1270" b="0"/>
                <wp:wrapNone/>
                <wp:docPr id="4" name="Rectangle 4"/>
                <wp:cNvGraphicFramePr/>
                <a:graphic xmlns:a="http://schemas.openxmlformats.org/drawingml/2006/main">
                  <a:graphicData uri="http://schemas.microsoft.com/office/word/2010/wordprocessingShape">
                    <wps:wsp>
                      <wps:cNvSpPr/>
                      <wps:spPr>
                        <a:xfrm>
                          <a:off x="0" y="0"/>
                          <a:ext cx="7580630" cy="3087014"/>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CAAF33" w14:textId="77777777" w:rsidR="005B35CE" w:rsidRDefault="005B35CE" w:rsidP="00C644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BF7E85" id="Rectangle 4" o:spid="_x0000_s1027" style="position:absolute;left:0;text-align:left;margin-left:-1in;margin-top:3.75pt;width:596.9pt;height:243.0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" fillcolor="#dbe5f1 [660]" stroked="f" strokeweight="2pt">
                <v:textbox>
                  <w:txbxContent>
                    <w:p w14:paraId="3FCAAF33" w14:textId="77777777" w:rsidR="005B35CE" w:rsidRDefault="005B35CE" w:rsidP="00C644FC">
                      <w:pPr>
                        <w:jc w:val="center"/>
                      </w:pPr>
                    </w:p>
                  </w:txbxContent>
                </v:textbox>
              </v:rect>
            </w:pict>
          </mc:Fallback>
        </mc:AlternateContent>
      </w:r>
    </w:p>
    <w:p w14:paraId="75133784" w14:textId="119F9DD0" w:rsidR="005B35CE" w:rsidRDefault="005B35CE" w:rsidP="006565C9">
      <w:r w:rsidRPr="006565C9">
        <w:t>The project used the following criteria for selecting potential cases:</w:t>
      </w:r>
    </w:p>
    <w:p w14:paraId="5C00A167" w14:textId="74EFA071" w:rsidR="005B35CE" w:rsidRPr="00C644FC" w:rsidRDefault="005B35CE" w:rsidP="00C644FC">
      <w:pPr>
        <w:rPr>
          <w:b/>
          <w:bCs/>
        </w:rPr>
      </w:pPr>
      <w:r w:rsidRPr="00C644FC">
        <w:rPr>
          <w:b/>
          <w:bCs/>
        </w:rPr>
        <w:t>Qualifying criteria for individual initiatives:</w:t>
      </w:r>
    </w:p>
    <w:p w14:paraId="1F3CE175" w14:textId="16A461A5" w:rsidR="005B35CE" w:rsidRPr="00C644FC" w:rsidRDefault="005B35CE" w:rsidP="00C644FC">
      <w:pPr>
        <w:numPr>
          <w:ilvl w:val="0"/>
          <w:numId w:val="30"/>
        </w:numPr>
      </w:pPr>
      <w:r w:rsidRPr="00C644FC">
        <w:t>Availability of documentation online in English to be able to compile a case study of the initiative (with preference given to initiatives for which there was some kind of evaluation report).</w:t>
      </w:r>
    </w:p>
    <w:p w14:paraId="7DA214B3" w14:textId="78FECB14" w:rsidR="005B35CE" w:rsidRPr="00C644FC" w:rsidRDefault="005B35CE" w:rsidP="00C644FC">
      <w:pPr>
        <w:numPr>
          <w:ilvl w:val="0"/>
          <w:numId w:val="30"/>
        </w:numPr>
      </w:pPr>
      <w:r w:rsidRPr="00C644FC">
        <w:t>Where there was a lack of information available, there should be contact information for at least one representative who could provide information on the initiative and its impact.</w:t>
      </w:r>
    </w:p>
    <w:p w14:paraId="4E011701" w14:textId="74E8EF9E" w:rsidR="005B35CE" w:rsidRPr="00C644FC" w:rsidRDefault="005B35CE" w:rsidP="00C644FC">
      <w:pPr>
        <w:numPr>
          <w:ilvl w:val="0"/>
          <w:numId w:val="30"/>
        </w:numPr>
      </w:pPr>
      <w:r w:rsidRPr="00C644FC">
        <w:t>The initiative should demonstrate how OER have been used to increase access, improve learner outcomes, reduce costs, and/or promote OER-related CPD.</w:t>
      </w:r>
    </w:p>
    <w:p w14:paraId="1ADC647F" w14:textId="6640B82D" w:rsidR="005B35CE" w:rsidRPr="00C644FC" w:rsidRDefault="005B35CE" w:rsidP="00C644FC">
      <w:pPr>
        <w:numPr>
          <w:ilvl w:val="0"/>
          <w:numId w:val="30"/>
        </w:numPr>
      </w:pPr>
      <w:r w:rsidRPr="00C644FC">
        <w:t>The initiative must have been operational for at least two years to allow accurate assessment of its effectiveness.</w:t>
      </w:r>
    </w:p>
    <w:p w14:paraId="14081B87" w14:textId="2FB53F03" w:rsidR="005B35CE" w:rsidRPr="00C644FC" w:rsidRDefault="005B35CE" w:rsidP="00C644FC"/>
    <w:p w14:paraId="1614D726" w14:textId="1B003EC9" w:rsidR="005B35CE" w:rsidRPr="00C644FC" w:rsidRDefault="005B35CE" w:rsidP="00C644FC">
      <w:r w:rsidRPr="00C644FC">
        <w:rPr>
          <w:b/>
          <w:bCs/>
        </w:rPr>
        <w:t>Criteria for the overall sample</w:t>
      </w:r>
      <w:r w:rsidRPr="00C644FC">
        <w:t>:</w:t>
      </w:r>
    </w:p>
    <w:p w14:paraId="388E7CC2" w14:textId="77777777" w:rsidR="005B35CE" w:rsidRPr="00C644FC" w:rsidRDefault="005B35CE" w:rsidP="00C644FC">
      <w:pPr>
        <w:numPr>
          <w:ilvl w:val="0"/>
          <w:numId w:val="31"/>
        </w:numPr>
      </w:pPr>
      <w:r w:rsidRPr="00C644FC">
        <w:t>A diverse geographical spread of initiatives (including a balance between the Global North and the Global South).</w:t>
      </w:r>
    </w:p>
    <w:p w14:paraId="4D5501E8" w14:textId="77777777" w:rsidR="005B35CE" w:rsidRPr="00C644FC" w:rsidRDefault="005B35CE" w:rsidP="00C644FC">
      <w:pPr>
        <w:numPr>
          <w:ilvl w:val="0"/>
          <w:numId w:val="31"/>
        </w:numPr>
      </w:pPr>
      <w:r w:rsidRPr="00C644FC">
        <w:t>A combination of single-institution and collaborative initiatives between multiple institutions or organizations.</w:t>
      </w:r>
    </w:p>
    <w:p w14:paraId="5136FC8B" w14:textId="54237E93" w:rsidR="005B35CE" w:rsidRPr="00C644FC" w:rsidRDefault="005B35CE" w:rsidP="00C644FC">
      <w:pPr>
        <w:numPr>
          <w:ilvl w:val="0"/>
          <w:numId w:val="31"/>
        </w:numPr>
      </w:pPr>
      <w:r>
        <w:rPr>
          <w:noProof/>
        </w:rPr>
        <mc:AlternateContent>
          <mc:Choice Requires="wps">
            <w:drawing>
              <wp:anchor distT="0" distB="0" distL="114300" distR="114300" simplePos="0" relativeHeight="251658243" behindDoc="1" locked="0" layoutInCell="1" allowOverlap="1" wp14:anchorId="5743D300" wp14:editId="37C5B285">
                <wp:simplePos x="0" y="0"/>
                <wp:positionH relativeFrom="column">
                  <wp:posOffset>-907085</wp:posOffset>
                </wp:positionH>
                <wp:positionV relativeFrom="paragraph">
                  <wp:posOffset>-146303</wp:posOffset>
                </wp:positionV>
                <wp:extent cx="7580630" cy="585216"/>
                <wp:effectExtent l="0" t="0" r="1270" b="0"/>
                <wp:wrapNone/>
                <wp:docPr id="3" name="Rectangle 3"/>
                <wp:cNvGraphicFramePr/>
                <a:graphic xmlns:a="http://schemas.openxmlformats.org/drawingml/2006/main">
                  <a:graphicData uri="http://schemas.microsoft.com/office/word/2010/wordprocessingShape">
                    <wps:wsp>
                      <wps:cNvSpPr/>
                      <wps:spPr>
                        <a:xfrm>
                          <a:off x="0" y="0"/>
                          <a:ext cx="7580630" cy="585216"/>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AE6187" w14:textId="77777777" w:rsidR="005B35CE" w:rsidRDefault="005B35CE" w:rsidP="009C282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43D300" id="Rectangle 3" o:spid="_x0000_s1028" style="position:absolute;left:0;text-align:left;margin-left:-71.4pt;margin-top:-11.5pt;width:596.9pt;height:46.1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" fillcolor="#dbe5f1 [660]" stroked="f" strokeweight="2pt">
                <v:textbox>
                  <w:txbxContent>
                    <w:p w14:paraId="4EAE6187" w14:textId="77777777" w:rsidR="005B35CE" w:rsidRDefault="005B35CE" w:rsidP="009C2820">
                      <w:pPr>
                        <w:jc w:val="center"/>
                      </w:pPr>
                    </w:p>
                  </w:txbxContent>
                </v:textbox>
              </v:rect>
            </w:pict>
          </mc:Fallback>
        </mc:AlternateContent>
      </w:r>
      <w:r w:rsidRPr="00C644FC">
        <w:t>A mixture of initiatives led by or involving national governments, universities and other organizations (e.g. N</w:t>
      </w:r>
      <w:r>
        <w:t xml:space="preserve">on-Governmental </w:t>
      </w:r>
      <w:r w:rsidRPr="00C644FC">
        <w:t>O</w:t>
      </w:r>
      <w:r>
        <w:t>rganization</w:t>
      </w:r>
      <w:r w:rsidRPr="00C644FC">
        <w:t>s</w:t>
      </w:r>
      <w:r>
        <w:t xml:space="preserve"> [NGOs]</w:t>
      </w:r>
      <w:r w:rsidRPr="00C644FC">
        <w:t>, donors, etc).</w:t>
      </w:r>
    </w:p>
    <w:p w14:paraId="4583437A" w14:textId="77777777" w:rsidR="005B35CE" w:rsidRPr="00C644FC" w:rsidRDefault="005B35CE" w:rsidP="00C644FC"/>
    <w:p w14:paraId="57C07723" w14:textId="4B23C7A8" w:rsidR="005B35CE" w:rsidRPr="00C644FC" w:rsidRDefault="005B35CE" w:rsidP="00C644FC">
      <w:r w:rsidRPr="00C644FC">
        <w:t>Based on these criteria, the team selected eight initiatives. Once selected, these were divided amongst volunteer collaborators</w:t>
      </w:r>
      <w:r w:rsidR="00A676C3">
        <w:t xml:space="preserve"> within the Network of Open Orgs</w:t>
      </w:r>
      <w:r w:rsidRPr="00C644FC">
        <w:t>, who wrote up the case study summaries.</w:t>
      </w:r>
      <w:r w:rsidR="00FD2A99">
        <w:t xml:space="preserve"> Volunteers were selected during a Network of Open Orgs </w:t>
      </w:r>
      <w:r w:rsidR="009B3074">
        <w:t>meeting.</w:t>
      </w:r>
      <w:r w:rsidRPr="00C644FC">
        <w:t xml:space="preserve"> Subsequently, one of the initiatives was removed from the final list because of a thin evidence base, reducing the number of case study summaries to seven.</w:t>
      </w:r>
    </w:p>
    <w:p w14:paraId="0DA74F10" w14:textId="77777777" w:rsidR="005B35CE" w:rsidRPr="00C644FC" w:rsidRDefault="005B35CE" w:rsidP="00C644FC"/>
    <w:p w14:paraId="6690C804" w14:textId="581AC345" w:rsidR="005B35CE" w:rsidRPr="00C644FC" w:rsidRDefault="005B35CE" w:rsidP="00C644FC">
      <w:r w:rsidRPr="00C644FC">
        <w:t xml:space="preserve">OER Africa provided a template to guide the development of the case study summaries (see Appendix </w:t>
      </w:r>
      <w:r>
        <w:t>One</w:t>
      </w:r>
      <w:r w:rsidRPr="00C644FC">
        <w:t>). Collaborators were able to modify the template as appropriate. OER Africa acted as a coordinator for these efforts, providing editorial support, collating the case studies, and writing up the summary report. It undertook this work in collaboration with several initiatives and OER advocates globally:</w:t>
      </w:r>
    </w:p>
    <w:p w14:paraId="5B562BED" w14:textId="78FE1882" w:rsidR="005B35CE" w:rsidRPr="00C644FC" w:rsidRDefault="005B35CE" w:rsidP="00C644FC">
      <w:pPr>
        <w:numPr>
          <w:ilvl w:val="0"/>
          <w:numId w:val="29"/>
        </w:numPr>
      </w:pPr>
      <w:r w:rsidRPr="00C644FC">
        <w:t>TJ Bliss</w:t>
      </w:r>
      <w:r>
        <w:t xml:space="preserve"> (Idaho State Board of Education)</w:t>
      </w:r>
      <w:r w:rsidRPr="00C644FC">
        <w:t>;</w:t>
      </w:r>
    </w:p>
    <w:p w14:paraId="13E00136" w14:textId="77777777" w:rsidR="005B35CE" w:rsidRPr="00C644FC" w:rsidRDefault="005B35CE" w:rsidP="00C644FC">
      <w:pPr>
        <w:numPr>
          <w:ilvl w:val="0"/>
          <w:numId w:val="29"/>
        </w:numPr>
      </w:pPr>
      <w:r w:rsidRPr="00C644FC">
        <w:lastRenderedPageBreak/>
        <w:t xml:space="preserve">Trish Chaplin-Cheyne </w:t>
      </w:r>
      <w:r w:rsidRPr="00C644FC">
        <w:rPr>
          <w:lang w:val="en-GB"/>
        </w:rPr>
        <w:t>(The International Council for Open and Distance Education [ICDE] OER Advocacy Committee [OERAC]);</w:t>
      </w:r>
    </w:p>
    <w:p w14:paraId="139B2D7E" w14:textId="77A8A294" w:rsidR="005B35CE" w:rsidRPr="00C644FC" w:rsidRDefault="005B35CE" w:rsidP="00C644FC">
      <w:pPr>
        <w:numPr>
          <w:ilvl w:val="0"/>
          <w:numId w:val="29"/>
        </w:numPr>
        <w:rPr>
          <w:lang w:val="it-IT"/>
        </w:rPr>
      </w:pPr>
      <w:r w:rsidRPr="00C644FC">
        <w:rPr>
          <w:lang w:val="it-IT"/>
        </w:rPr>
        <w:t>Paola Corti (</w:t>
      </w:r>
      <w:r>
        <w:rPr>
          <w:lang w:val="it-IT"/>
        </w:rPr>
        <w:t>SPARC Europe</w:t>
      </w:r>
      <w:r w:rsidRPr="00C644FC">
        <w:rPr>
          <w:lang w:val="it-IT"/>
        </w:rPr>
        <w:t>);</w:t>
      </w:r>
    </w:p>
    <w:p w14:paraId="432CE914" w14:textId="4020EBD5" w:rsidR="005B35CE" w:rsidRPr="00C644FC" w:rsidRDefault="005B35CE" w:rsidP="00C644FC">
      <w:pPr>
        <w:numPr>
          <w:ilvl w:val="0"/>
          <w:numId w:val="29"/>
        </w:numPr>
      </w:pPr>
      <w:r w:rsidRPr="00C644FC">
        <w:rPr>
          <w:lang w:val="en-GB"/>
        </w:rPr>
        <w:t xml:space="preserve">Juliane </w:t>
      </w:r>
      <w:proofErr w:type="spellStart"/>
      <w:r w:rsidRPr="00C644FC">
        <w:rPr>
          <w:lang w:val="en-GB"/>
        </w:rPr>
        <w:t>Granly</w:t>
      </w:r>
      <w:proofErr w:type="spellEnd"/>
      <w:r w:rsidRPr="00C644FC">
        <w:rPr>
          <w:lang w:val="en-GB"/>
        </w:rPr>
        <w:t xml:space="preserve"> (ICDE</w:t>
      </w:r>
      <w:proofErr w:type="gramStart"/>
      <w:r w:rsidRPr="00C644FC">
        <w:rPr>
          <w:lang w:val="en-GB"/>
        </w:rPr>
        <w:t>);</w:t>
      </w:r>
      <w:proofErr w:type="gramEnd"/>
    </w:p>
    <w:p w14:paraId="2CF687D9" w14:textId="77777777" w:rsidR="005B35CE" w:rsidRPr="00C644FC" w:rsidRDefault="005B35CE" w:rsidP="00C644FC">
      <w:pPr>
        <w:numPr>
          <w:ilvl w:val="0"/>
          <w:numId w:val="29"/>
        </w:numPr>
      </w:pPr>
      <w:r w:rsidRPr="00C644FC">
        <w:rPr>
          <w:lang w:val="en-GB"/>
        </w:rPr>
        <w:t>Cable Green (Creative Commons</w:t>
      </w:r>
      <w:proofErr w:type="gramStart"/>
      <w:r w:rsidRPr="00C644FC">
        <w:rPr>
          <w:lang w:val="en-GB"/>
        </w:rPr>
        <w:t>);</w:t>
      </w:r>
      <w:proofErr w:type="gramEnd"/>
    </w:p>
    <w:p w14:paraId="08C652AC" w14:textId="77777777" w:rsidR="005B35CE" w:rsidRPr="00C644FC" w:rsidRDefault="005B35CE" w:rsidP="00C644FC">
      <w:pPr>
        <w:numPr>
          <w:ilvl w:val="0"/>
          <w:numId w:val="29"/>
        </w:numPr>
      </w:pPr>
      <w:r w:rsidRPr="00C644FC">
        <w:rPr>
          <w:lang w:val="en-GB"/>
        </w:rPr>
        <w:t xml:space="preserve">Gerry Hanley (MERLOT and </w:t>
      </w:r>
      <w:proofErr w:type="spellStart"/>
      <w:r w:rsidRPr="00C644FC">
        <w:rPr>
          <w:lang w:val="en-GB"/>
        </w:rPr>
        <w:t>SkillsCommons</w:t>
      </w:r>
      <w:proofErr w:type="spellEnd"/>
      <w:proofErr w:type="gramStart"/>
      <w:r w:rsidRPr="00C644FC">
        <w:rPr>
          <w:lang w:val="en-GB"/>
        </w:rPr>
        <w:t>);</w:t>
      </w:r>
      <w:proofErr w:type="gramEnd"/>
    </w:p>
    <w:p w14:paraId="3B5E44DC" w14:textId="77777777" w:rsidR="005B35CE" w:rsidRPr="00C644FC" w:rsidRDefault="005B35CE" w:rsidP="00C644FC">
      <w:pPr>
        <w:numPr>
          <w:ilvl w:val="0"/>
          <w:numId w:val="29"/>
        </w:numPr>
      </w:pPr>
      <w:r w:rsidRPr="00C644FC">
        <w:rPr>
          <w:lang w:val="en-GB"/>
        </w:rPr>
        <w:t xml:space="preserve">Cynthia </w:t>
      </w:r>
      <w:proofErr w:type="spellStart"/>
      <w:r w:rsidRPr="00C644FC">
        <w:rPr>
          <w:lang w:val="en-GB"/>
        </w:rPr>
        <w:t>Jimes</w:t>
      </w:r>
      <w:proofErr w:type="spellEnd"/>
      <w:r w:rsidRPr="00C644FC">
        <w:rPr>
          <w:lang w:val="en-GB"/>
        </w:rPr>
        <w:t xml:space="preserve"> (</w:t>
      </w:r>
      <w:r w:rsidRPr="00C644FC">
        <w:t>Institute for the Study of Knowledge Management in Education [ISKME]</w:t>
      </w:r>
      <w:proofErr w:type="gramStart"/>
      <w:r w:rsidRPr="00C644FC">
        <w:rPr>
          <w:lang w:val="en-GB"/>
        </w:rPr>
        <w:t>);</w:t>
      </w:r>
      <w:proofErr w:type="gramEnd"/>
    </w:p>
    <w:p w14:paraId="2A84847D" w14:textId="11C1EC67" w:rsidR="005B35CE" w:rsidRPr="00C644FC" w:rsidRDefault="005B35CE" w:rsidP="00C644FC">
      <w:pPr>
        <w:numPr>
          <w:ilvl w:val="0"/>
          <w:numId w:val="29"/>
        </w:numPr>
      </w:pPr>
      <w:r w:rsidRPr="00C644FC">
        <w:t xml:space="preserve">Igor Lesko (Open Education </w:t>
      </w:r>
      <w:r>
        <w:t>Global</w:t>
      </w:r>
      <w:r w:rsidRPr="00C644FC">
        <w:t>);</w:t>
      </w:r>
    </w:p>
    <w:p w14:paraId="38DB7DB6" w14:textId="254607F5" w:rsidR="005B35CE" w:rsidRPr="00C644FC" w:rsidRDefault="005B35CE" w:rsidP="00C644FC">
      <w:pPr>
        <w:numPr>
          <w:ilvl w:val="0"/>
          <w:numId w:val="29"/>
        </w:numPr>
      </w:pPr>
      <w:proofErr w:type="spellStart"/>
      <w:r w:rsidRPr="00C644FC">
        <w:t>Anaïs</w:t>
      </w:r>
      <w:proofErr w:type="spellEnd"/>
      <w:r w:rsidRPr="00C644FC">
        <w:t xml:space="preserve"> </w:t>
      </w:r>
      <w:proofErr w:type="spellStart"/>
      <w:r w:rsidRPr="00C644FC">
        <w:t>Malbrand</w:t>
      </w:r>
      <w:proofErr w:type="spellEnd"/>
      <w:r w:rsidRPr="00C644FC">
        <w:t xml:space="preserve"> (</w:t>
      </w:r>
      <w:r w:rsidRPr="00C644FC">
        <w:rPr>
          <w:lang w:val="en-GB"/>
        </w:rPr>
        <w:t>ICDE);</w:t>
      </w:r>
    </w:p>
    <w:p w14:paraId="577281D6" w14:textId="77777777" w:rsidR="005B35CE" w:rsidRPr="00C644FC" w:rsidRDefault="005B35CE" w:rsidP="00C644FC">
      <w:pPr>
        <w:numPr>
          <w:ilvl w:val="0"/>
          <w:numId w:val="29"/>
        </w:numPr>
      </w:pPr>
      <w:r w:rsidRPr="00C644FC">
        <w:rPr>
          <w:lang w:val="en-GB"/>
        </w:rPr>
        <w:t xml:space="preserve">Ebba </w:t>
      </w:r>
      <w:proofErr w:type="spellStart"/>
      <w:r w:rsidRPr="00C644FC">
        <w:rPr>
          <w:lang w:val="en-GB"/>
        </w:rPr>
        <w:t>Ossiannilsson</w:t>
      </w:r>
      <w:proofErr w:type="spellEnd"/>
      <w:r w:rsidRPr="00C644FC">
        <w:rPr>
          <w:lang w:val="en-GB"/>
        </w:rPr>
        <w:t xml:space="preserve"> (ICDE OERAC</w:t>
      </w:r>
      <w:proofErr w:type="gramStart"/>
      <w:r w:rsidRPr="00C644FC">
        <w:rPr>
          <w:lang w:val="en-GB"/>
        </w:rPr>
        <w:t>);</w:t>
      </w:r>
      <w:proofErr w:type="gramEnd"/>
    </w:p>
    <w:p w14:paraId="21370972" w14:textId="77777777" w:rsidR="005B35CE" w:rsidRDefault="005B35CE" w:rsidP="00C644FC">
      <w:pPr>
        <w:numPr>
          <w:ilvl w:val="0"/>
          <w:numId w:val="29"/>
        </w:numPr>
      </w:pPr>
      <w:r w:rsidRPr="00C644FC">
        <w:rPr>
          <w:lang w:val="en-GB"/>
        </w:rPr>
        <w:t xml:space="preserve">Lisa </w:t>
      </w:r>
      <w:proofErr w:type="spellStart"/>
      <w:r w:rsidRPr="00C644FC">
        <w:rPr>
          <w:lang w:val="en-GB"/>
        </w:rPr>
        <w:t>Petrides</w:t>
      </w:r>
      <w:proofErr w:type="spellEnd"/>
      <w:r w:rsidRPr="00C644FC">
        <w:rPr>
          <w:lang w:val="en-GB"/>
        </w:rPr>
        <w:t xml:space="preserve"> (ISKME); and</w:t>
      </w:r>
    </w:p>
    <w:p w14:paraId="758E079B" w14:textId="6E10B40C" w:rsidR="005B35CE" w:rsidRPr="00E8012F" w:rsidRDefault="005B35CE" w:rsidP="00E10266">
      <w:pPr>
        <w:numPr>
          <w:ilvl w:val="0"/>
          <w:numId w:val="29"/>
        </w:numPr>
        <w:rPr>
          <w:b/>
          <w:i/>
          <w:lang w:val="it-IT"/>
        </w:rPr>
      </w:pPr>
      <w:r w:rsidRPr="00C644FC">
        <w:rPr>
          <w:lang w:val="it-IT"/>
        </w:rPr>
        <w:t xml:space="preserve">Rosa </w:t>
      </w:r>
      <w:proofErr w:type="spellStart"/>
      <w:r w:rsidRPr="00C644FC">
        <w:rPr>
          <w:lang w:val="it-IT"/>
        </w:rPr>
        <w:t>Leonor</w:t>
      </w:r>
      <w:proofErr w:type="spellEnd"/>
      <w:r w:rsidRPr="00C644FC">
        <w:rPr>
          <w:lang w:val="it-IT"/>
        </w:rPr>
        <w:t xml:space="preserve"> </w:t>
      </w:r>
      <w:proofErr w:type="spellStart"/>
      <w:r w:rsidRPr="00C644FC">
        <w:rPr>
          <w:lang w:val="it-IT"/>
        </w:rPr>
        <w:t>Ulloa</w:t>
      </w:r>
      <w:proofErr w:type="spellEnd"/>
      <w:r w:rsidRPr="00C644FC">
        <w:rPr>
          <w:lang w:val="it-IT"/>
        </w:rPr>
        <w:t xml:space="preserve"> </w:t>
      </w:r>
      <w:proofErr w:type="spellStart"/>
      <w:r w:rsidRPr="00C644FC">
        <w:rPr>
          <w:lang w:val="it-IT"/>
        </w:rPr>
        <w:t>Cazarez</w:t>
      </w:r>
      <w:proofErr w:type="spellEnd"/>
      <w:r w:rsidRPr="00C644FC">
        <w:rPr>
          <w:lang w:val="it-IT"/>
        </w:rPr>
        <w:t xml:space="preserve"> (</w:t>
      </w:r>
      <w:r w:rsidRPr="00E8012F">
        <w:rPr>
          <w:lang w:val="it-IT"/>
        </w:rPr>
        <w:t xml:space="preserve">Sistema de </w:t>
      </w:r>
      <w:proofErr w:type="spellStart"/>
      <w:r w:rsidRPr="00E8012F">
        <w:rPr>
          <w:lang w:val="it-IT"/>
        </w:rPr>
        <w:t>Universidad</w:t>
      </w:r>
      <w:proofErr w:type="spellEnd"/>
      <w:r w:rsidRPr="00E8012F">
        <w:rPr>
          <w:lang w:val="it-IT"/>
        </w:rPr>
        <w:t xml:space="preserve"> Virtual - </w:t>
      </w:r>
      <w:proofErr w:type="spellStart"/>
      <w:r w:rsidRPr="00E8012F">
        <w:rPr>
          <w:lang w:val="it-IT"/>
        </w:rPr>
        <w:t>Universidad</w:t>
      </w:r>
      <w:proofErr w:type="spellEnd"/>
      <w:r w:rsidRPr="00E8012F">
        <w:rPr>
          <w:lang w:val="it-IT"/>
        </w:rPr>
        <w:t xml:space="preserve"> de Guadalajara</w:t>
      </w:r>
      <w:r w:rsidRPr="00E10266">
        <w:rPr>
          <w:lang w:val="it-IT"/>
        </w:rPr>
        <w:t>).</w:t>
      </w:r>
    </w:p>
    <w:p w14:paraId="0B5F793C" w14:textId="0535A12A" w:rsidR="005B35CE" w:rsidRDefault="005B35CE" w:rsidP="005C6C3D">
      <w:pPr>
        <w:pStyle w:val="Heading2"/>
      </w:pPr>
      <w:r>
        <w:t>Findings</w:t>
      </w:r>
    </w:p>
    <w:p w14:paraId="040D8739" w14:textId="1A93E01B" w:rsidR="005B35CE" w:rsidRDefault="005B35CE" w:rsidP="005B426D">
      <w:pPr>
        <w:pStyle w:val="Heading3"/>
      </w:pPr>
      <w:r>
        <w:t>Case study description, purpose, and aims</w:t>
      </w:r>
    </w:p>
    <w:p w14:paraId="3BAA485A" w14:textId="067C1E3B" w:rsidR="005B35CE" w:rsidRDefault="005B35CE" w:rsidP="008B44D0">
      <w:pPr>
        <w:sectPr w:rsidR="005B35CE" w:rsidSect="000D5FC9">
          <w:pgSz w:w="11906" w:h="16838"/>
          <w:pgMar w:top="1440" w:right="1440" w:bottom="1440" w:left="1440" w:header="709" w:footer="709" w:gutter="0"/>
          <w:cols w:space="708"/>
          <w:titlePg/>
          <w:docGrid w:linePitch="360"/>
        </w:sectPr>
      </w:pPr>
      <w:r w:rsidRPr="008B44D0">
        <w:t>The table below provides a summary of the case studies that were covered in the research. The sample included cases that presented even coverage of all four areas of enquiry. None of the cases were single-institution initiatives, as all had three or more partners (including funders). The</w:t>
      </w:r>
      <w:r w:rsidR="008245A4">
        <w:t xml:space="preserve"> sample was</w:t>
      </w:r>
      <w:r w:rsidRPr="008B44D0">
        <w:t xml:space="preserve"> </w:t>
      </w:r>
      <w:r w:rsidR="008245A4">
        <w:t>diverse in terms of sector representation for the initiatives</w:t>
      </w:r>
      <w:r w:rsidR="00656D07">
        <w:t>’</w:t>
      </w:r>
      <w:r w:rsidRPr="008B44D0">
        <w:t xml:space="preserve"> lead organizatio</w:t>
      </w:r>
      <w:r w:rsidR="008245A4">
        <w:t>n</w:t>
      </w:r>
      <w:r w:rsidR="00656D07">
        <w:t>/s</w:t>
      </w:r>
      <w:r w:rsidRPr="008B44D0">
        <w:t xml:space="preserve">, </w:t>
      </w:r>
      <w:r w:rsidR="00656D07">
        <w:t>which included</w:t>
      </w:r>
      <w:r w:rsidRPr="008B44D0">
        <w:t xml:space="preserve"> NGOs, governments, and universities</w:t>
      </w:r>
      <w:r w:rsidRPr="735A55BF">
        <w:t xml:space="preserve">. </w:t>
      </w:r>
    </w:p>
    <w:p w14:paraId="5FC4B544" w14:textId="277453C6" w:rsidR="005B35CE" w:rsidRDefault="00E043F7" w:rsidP="00E043F7">
      <w:pPr>
        <w:pStyle w:val="TableReference"/>
      </w:pPr>
      <w:r>
        <w:lastRenderedPageBreak/>
        <w:t>Case study description, purpose, and aims</w:t>
      </w:r>
    </w:p>
    <w:tbl>
      <w:tblPr>
        <w:tblStyle w:val="GridTable1Light-Accent1"/>
        <w:tblW w:w="0" w:type="auto"/>
        <w:tblLook w:val="04A0" w:firstRow="1" w:lastRow="0" w:firstColumn="1" w:lastColumn="0" w:noHBand="0" w:noVBand="1"/>
      </w:tblPr>
      <w:tblGrid>
        <w:gridCol w:w="3539"/>
        <w:gridCol w:w="8363"/>
        <w:gridCol w:w="1985"/>
      </w:tblGrid>
      <w:tr w:rsidR="005B35CE" w:rsidRPr="009450FB" w14:paraId="56C082E0" w14:textId="77777777" w:rsidTr="00375BAE">
        <w:trPr>
          <w:cnfStyle w:val="100000000000" w:firstRow="1" w:lastRow="0" w:firstColumn="0" w:lastColumn="0" w:oddVBand="0" w:evenVBand="0" w:oddHBand="0" w:evenHBand="0" w:firstRowFirstColumn="0" w:firstRowLastColumn="0" w:lastRowFirstColumn="0" w:lastRowLastColumn="0"/>
          <w:trHeight w:val="277"/>
          <w:tblHeader/>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62F0C60D" w14:textId="4492685A" w:rsidR="005B35CE" w:rsidRPr="009450FB" w:rsidRDefault="005B35CE" w:rsidP="003B2978">
            <w:pPr>
              <w:jc w:val="left"/>
              <w:rPr>
                <w:rFonts w:cs="Open Sans"/>
                <w:sz w:val="18"/>
                <w:szCs w:val="18"/>
              </w:rPr>
            </w:pPr>
            <w:r w:rsidRPr="009450FB">
              <w:rPr>
                <w:rFonts w:cs="Open Sans"/>
                <w:sz w:val="18"/>
                <w:szCs w:val="18"/>
              </w:rPr>
              <w:t>Case study</w:t>
            </w:r>
          </w:p>
        </w:tc>
        <w:tc>
          <w:tcPr>
            <w:tcW w:w="8363" w:type="dxa"/>
            <w:vAlign w:val="center"/>
          </w:tcPr>
          <w:p w14:paraId="49EADD8E" w14:textId="3FBA10AC" w:rsidR="005B35CE" w:rsidRPr="009450FB" w:rsidRDefault="005B35CE" w:rsidP="003B2978">
            <w:pPr>
              <w:jc w:val="left"/>
              <w:cnfStyle w:val="100000000000" w:firstRow="1" w:lastRow="0" w:firstColumn="0" w:lastColumn="0" w:oddVBand="0" w:evenVBand="0" w:oddHBand="0" w:evenHBand="0" w:firstRowFirstColumn="0" w:firstRowLastColumn="0" w:lastRowFirstColumn="0" w:lastRowLastColumn="0"/>
              <w:rPr>
                <w:rFonts w:cs="Open Sans"/>
                <w:sz w:val="18"/>
                <w:szCs w:val="18"/>
              </w:rPr>
            </w:pPr>
            <w:r w:rsidRPr="009450FB">
              <w:rPr>
                <w:rFonts w:cs="Open Sans"/>
                <w:sz w:val="18"/>
                <w:szCs w:val="18"/>
              </w:rPr>
              <w:t>Brief description</w:t>
            </w:r>
          </w:p>
        </w:tc>
        <w:tc>
          <w:tcPr>
            <w:tcW w:w="1985" w:type="dxa"/>
          </w:tcPr>
          <w:p w14:paraId="52425B97" w14:textId="601E775D" w:rsidR="005B35CE" w:rsidRPr="009450FB" w:rsidRDefault="005B35CE" w:rsidP="00005B37">
            <w:pPr>
              <w:cnfStyle w:val="100000000000" w:firstRow="1" w:lastRow="0" w:firstColumn="0" w:lastColumn="0" w:oddVBand="0" w:evenVBand="0" w:oddHBand="0" w:evenHBand="0" w:firstRowFirstColumn="0" w:firstRowLastColumn="0" w:lastRowFirstColumn="0" w:lastRowLastColumn="0"/>
              <w:rPr>
                <w:rFonts w:cs="Open Sans"/>
                <w:sz w:val="18"/>
                <w:szCs w:val="18"/>
              </w:rPr>
            </w:pPr>
            <w:r w:rsidRPr="009450FB">
              <w:rPr>
                <w:rFonts w:cs="Open Sans"/>
                <w:sz w:val="18"/>
                <w:szCs w:val="18"/>
              </w:rPr>
              <w:t>Categorization</w:t>
            </w:r>
          </w:p>
        </w:tc>
      </w:tr>
      <w:tr w:rsidR="005B35CE" w:rsidRPr="009450FB" w14:paraId="4EFEC870" w14:textId="77777777" w:rsidTr="00375BAE">
        <w:trPr>
          <w:trHeight w:val="3542"/>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197BE342" w14:textId="77777777" w:rsidR="005B35CE" w:rsidRPr="009450FB" w:rsidRDefault="005B35CE" w:rsidP="003B2978">
            <w:pPr>
              <w:jc w:val="left"/>
              <w:rPr>
                <w:rFonts w:cs="Open Sans"/>
                <w:color w:val="000000"/>
                <w:sz w:val="18"/>
                <w:szCs w:val="18"/>
              </w:rPr>
            </w:pPr>
            <w:proofErr w:type="spellStart"/>
            <w:r w:rsidRPr="009450FB">
              <w:rPr>
                <w:rFonts w:cs="Open Sans"/>
                <w:color w:val="000000"/>
                <w:sz w:val="18"/>
                <w:szCs w:val="18"/>
              </w:rPr>
              <w:t>OERu</w:t>
            </w:r>
            <w:proofErr w:type="spellEnd"/>
            <w:r w:rsidRPr="009450FB">
              <w:rPr>
                <w:rFonts w:cs="Open Sans"/>
                <w:color w:val="000000"/>
                <w:sz w:val="18"/>
                <w:szCs w:val="18"/>
              </w:rPr>
              <w:t>: Learning in a Digital Age (</w:t>
            </w:r>
            <w:proofErr w:type="spellStart"/>
            <w:r w:rsidRPr="009450FB">
              <w:rPr>
                <w:rFonts w:cs="Open Sans"/>
                <w:color w:val="000000"/>
                <w:sz w:val="18"/>
                <w:szCs w:val="18"/>
              </w:rPr>
              <w:t>LiDA</w:t>
            </w:r>
            <w:proofErr w:type="spellEnd"/>
            <w:r w:rsidRPr="009450FB">
              <w:rPr>
                <w:rFonts w:cs="Open Sans"/>
                <w:color w:val="000000"/>
                <w:sz w:val="18"/>
                <w:szCs w:val="18"/>
              </w:rPr>
              <w:t>)</w:t>
            </w:r>
          </w:p>
          <w:p w14:paraId="3269AF1B" w14:textId="40CA0D07" w:rsidR="005B35CE" w:rsidRPr="009450FB" w:rsidRDefault="005B35CE" w:rsidP="003B2978">
            <w:pPr>
              <w:jc w:val="left"/>
              <w:rPr>
                <w:rFonts w:cs="Open Sans"/>
                <w:sz w:val="18"/>
                <w:szCs w:val="18"/>
              </w:rPr>
            </w:pPr>
            <w:r w:rsidRPr="009450FB">
              <w:rPr>
                <w:rFonts w:cs="Open Sans"/>
                <w:sz w:val="18"/>
                <w:szCs w:val="18"/>
              </w:rPr>
              <w:t>(Global reach)</w:t>
            </w:r>
          </w:p>
        </w:tc>
        <w:tc>
          <w:tcPr>
            <w:tcW w:w="8363" w:type="dxa"/>
            <w:vAlign w:val="center"/>
          </w:tcPr>
          <w:p w14:paraId="2262AC46" w14:textId="77777777" w:rsidR="005B35CE" w:rsidRPr="009450FB" w:rsidRDefault="005B35CE" w:rsidP="003B2978">
            <w:pPr>
              <w:jc w:val="left"/>
              <w:cnfStyle w:val="000000000000" w:firstRow="0" w:lastRow="0" w:firstColumn="0" w:lastColumn="0" w:oddVBand="0" w:evenVBand="0" w:oddHBand="0" w:evenHBand="0" w:firstRowFirstColumn="0" w:firstRowLastColumn="0" w:lastRowFirstColumn="0" w:lastRowLastColumn="0"/>
              <w:rPr>
                <w:rFonts w:cs="Open Sans"/>
                <w:color w:val="000000"/>
                <w:sz w:val="18"/>
                <w:szCs w:val="18"/>
              </w:rPr>
            </w:pPr>
            <w:r w:rsidRPr="009450FB">
              <w:rPr>
                <w:rFonts w:cs="Open Sans"/>
                <w:color w:val="000000"/>
                <w:sz w:val="18"/>
                <w:szCs w:val="18"/>
              </w:rPr>
              <w:t>Since 2011, the Open Education Resource Foundation (OERF) has been developing innovative approaches to providing free and open media and information literacy education.</w:t>
            </w:r>
          </w:p>
          <w:p w14:paraId="3E77AE08" w14:textId="77777777" w:rsidR="005B35CE" w:rsidRPr="009450FB" w:rsidRDefault="005B35CE" w:rsidP="003B2978">
            <w:pPr>
              <w:jc w:val="left"/>
              <w:cnfStyle w:val="000000000000" w:firstRow="0" w:lastRow="0" w:firstColumn="0" w:lastColumn="0" w:oddVBand="0" w:evenVBand="0" w:oddHBand="0" w:evenHBand="0" w:firstRowFirstColumn="0" w:firstRowLastColumn="0" w:lastRowFirstColumn="0" w:lastRowLastColumn="0"/>
              <w:rPr>
                <w:rFonts w:cs="Open Sans"/>
                <w:color w:val="000000"/>
                <w:sz w:val="18"/>
                <w:szCs w:val="18"/>
              </w:rPr>
            </w:pPr>
          </w:p>
          <w:p w14:paraId="105C3004" w14:textId="77777777" w:rsidR="005B35CE" w:rsidRPr="009450FB" w:rsidRDefault="004C2CC3" w:rsidP="003B2978">
            <w:pPr>
              <w:jc w:val="left"/>
              <w:cnfStyle w:val="000000000000" w:firstRow="0" w:lastRow="0" w:firstColumn="0" w:lastColumn="0" w:oddVBand="0" w:evenVBand="0" w:oddHBand="0" w:evenHBand="0" w:firstRowFirstColumn="0" w:firstRowLastColumn="0" w:lastRowFirstColumn="0" w:lastRowLastColumn="0"/>
              <w:rPr>
                <w:rFonts w:cs="Open Sans"/>
                <w:color w:val="000000"/>
                <w:sz w:val="18"/>
                <w:szCs w:val="18"/>
              </w:rPr>
            </w:pPr>
            <w:hyperlink r:id="rId25" w:history="1">
              <w:r w:rsidR="005B35CE" w:rsidRPr="009450FB">
                <w:rPr>
                  <w:rStyle w:val="Hyperlink"/>
                  <w:rFonts w:cs="Open Sans"/>
                  <w:sz w:val="18"/>
                  <w:szCs w:val="18"/>
                </w:rPr>
                <w:t>The Learning in a Digital Age (</w:t>
              </w:r>
              <w:proofErr w:type="spellStart"/>
              <w:r w:rsidR="005B35CE" w:rsidRPr="009450FB">
                <w:rPr>
                  <w:rStyle w:val="Hyperlink"/>
                  <w:rFonts w:cs="Open Sans"/>
                  <w:sz w:val="18"/>
                  <w:szCs w:val="18"/>
                </w:rPr>
                <w:t>LiDA</w:t>
              </w:r>
              <w:proofErr w:type="spellEnd"/>
              <w:r w:rsidR="005B35CE" w:rsidRPr="009450FB">
                <w:rPr>
                  <w:rStyle w:val="Hyperlink"/>
                  <w:rFonts w:cs="Open Sans"/>
                  <w:sz w:val="18"/>
                  <w:szCs w:val="18"/>
                </w:rPr>
                <w:t>) suite</w:t>
              </w:r>
            </w:hyperlink>
            <w:r w:rsidR="005B35CE" w:rsidRPr="009450FB">
              <w:rPr>
                <w:rFonts w:cs="Open Sans"/>
                <w:color w:val="000000"/>
                <w:sz w:val="18"/>
                <w:szCs w:val="18"/>
              </w:rPr>
              <w:t xml:space="preserve"> is made up of four micro-courses developed by the OERF, which are delivered virtually, with the aim of supporting adults in developing digital and critical media literacy skills for learning online. Courses are at no cost to learners and include optional pathways to certifications, including formal academic credit towards university qualifications.</w:t>
            </w:r>
          </w:p>
          <w:p w14:paraId="3BAACB64" w14:textId="77777777" w:rsidR="005B35CE" w:rsidRPr="009450FB" w:rsidRDefault="005B35CE" w:rsidP="003B2978">
            <w:pPr>
              <w:jc w:val="left"/>
              <w:cnfStyle w:val="000000000000" w:firstRow="0" w:lastRow="0" w:firstColumn="0" w:lastColumn="0" w:oddVBand="0" w:evenVBand="0" w:oddHBand="0" w:evenHBand="0" w:firstRowFirstColumn="0" w:firstRowLastColumn="0" w:lastRowFirstColumn="0" w:lastRowLastColumn="0"/>
              <w:rPr>
                <w:rFonts w:cs="Open Sans"/>
                <w:color w:val="000000"/>
                <w:sz w:val="18"/>
                <w:szCs w:val="18"/>
              </w:rPr>
            </w:pPr>
          </w:p>
          <w:p w14:paraId="1B6F6F95" w14:textId="22498F2D" w:rsidR="005B35CE" w:rsidRPr="009450FB" w:rsidRDefault="005B35CE" w:rsidP="003B2978">
            <w:pPr>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9450FB">
              <w:rPr>
                <w:rFonts w:cs="Open Sans"/>
                <w:color w:val="000000"/>
                <w:sz w:val="18"/>
                <w:szCs w:val="18"/>
              </w:rPr>
              <w:t>Courses are published and delivered using Free and Open-Source Software (FOSS), so any institution can reuse, remix, and replicate the course materials and delivery platforms for their own purposes.</w:t>
            </w:r>
          </w:p>
        </w:tc>
        <w:tc>
          <w:tcPr>
            <w:tcW w:w="1985" w:type="dxa"/>
            <w:vAlign w:val="center"/>
          </w:tcPr>
          <w:p w14:paraId="1D1879A1" w14:textId="7B066EA3" w:rsidR="005B35CE" w:rsidRPr="009450FB" w:rsidRDefault="005B35CE" w:rsidP="004305D9">
            <w:pPr>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9450FB">
              <w:rPr>
                <w:rFonts w:cs="Open Sans"/>
                <w:color w:val="000000"/>
                <w:sz w:val="18"/>
                <w:szCs w:val="18"/>
              </w:rPr>
              <w:t>Access</w:t>
            </w:r>
          </w:p>
        </w:tc>
      </w:tr>
      <w:tr w:rsidR="005B35CE" w:rsidRPr="009450FB" w14:paraId="352BDDC5" w14:textId="77777777" w:rsidTr="00375BAE">
        <w:trPr>
          <w:trHeight w:val="2684"/>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46B34364" w14:textId="77777777" w:rsidR="005B35CE" w:rsidRPr="009450FB" w:rsidRDefault="005B35CE" w:rsidP="003B2978">
            <w:pPr>
              <w:jc w:val="left"/>
              <w:rPr>
                <w:rFonts w:cs="Open Sans"/>
                <w:color w:val="000000"/>
                <w:sz w:val="18"/>
                <w:szCs w:val="18"/>
              </w:rPr>
            </w:pPr>
            <w:r w:rsidRPr="009450FB">
              <w:rPr>
                <w:rFonts w:cs="Open Sans"/>
                <w:color w:val="000000"/>
                <w:sz w:val="18"/>
                <w:szCs w:val="18"/>
              </w:rPr>
              <w:t>Teacher Education through School-based Support – India</w:t>
            </w:r>
          </w:p>
          <w:p w14:paraId="662D3735" w14:textId="69307344" w:rsidR="005B35CE" w:rsidRPr="009450FB" w:rsidRDefault="005B35CE" w:rsidP="003B2978">
            <w:pPr>
              <w:jc w:val="left"/>
              <w:rPr>
                <w:rFonts w:cs="Open Sans"/>
                <w:color w:val="000000"/>
                <w:sz w:val="18"/>
                <w:szCs w:val="18"/>
              </w:rPr>
            </w:pPr>
            <w:r w:rsidRPr="009450FB">
              <w:rPr>
                <w:rFonts w:cs="Open Sans"/>
                <w:color w:val="000000"/>
                <w:sz w:val="18"/>
                <w:szCs w:val="18"/>
              </w:rPr>
              <w:t>(TESS-India)</w:t>
            </w:r>
          </w:p>
          <w:p w14:paraId="1F5C5E4F" w14:textId="6FABCAF6" w:rsidR="005B35CE" w:rsidRPr="009450FB" w:rsidRDefault="005B35CE" w:rsidP="003B2978">
            <w:pPr>
              <w:jc w:val="left"/>
              <w:rPr>
                <w:rFonts w:cs="Open Sans"/>
                <w:sz w:val="18"/>
                <w:szCs w:val="18"/>
              </w:rPr>
            </w:pPr>
            <w:r w:rsidRPr="009450FB">
              <w:rPr>
                <w:rFonts w:cs="Open Sans"/>
                <w:sz w:val="18"/>
                <w:szCs w:val="18"/>
              </w:rPr>
              <w:t>(India)</w:t>
            </w:r>
          </w:p>
        </w:tc>
        <w:tc>
          <w:tcPr>
            <w:tcW w:w="8363" w:type="dxa"/>
            <w:vAlign w:val="center"/>
          </w:tcPr>
          <w:p w14:paraId="359ACC93" w14:textId="2C962FFC" w:rsidR="005B35CE" w:rsidRPr="009450FB" w:rsidRDefault="005B35CE" w:rsidP="003B2978">
            <w:pPr>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9450FB">
              <w:rPr>
                <w:rFonts w:cs="Open Sans"/>
                <w:color w:val="000000"/>
                <w:sz w:val="18"/>
                <w:szCs w:val="18"/>
              </w:rPr>
              <w:t xml:space="preserve">Initiated in 2012, </w:t>
            </w:r>
            <w:hyperlink r:id="rId26" w:history="1">
              <w:r w:rsidRPr="009450FB">
                <w:rPr>
                  <w:rStyle w:val="Hyperlink"/>
                  <w:rFonts w:cs="Open Sans"/>
                  <w:sz w:val="18"/>
                  <w:szCs w:val="18"/>
                </w:rPr>
                <w:t>Teacher Education through School-based Support – India (TESS-India)</w:t>
              </w:r>
            </w:hyperlink>
            <w:r w:rsidRPr="009450FB">
              <w:rPr>
                <w:rFonts w:cs="Open Sans"/>
                <w:color w:val="000000"/>
                <w:sz w:val="18"/>
                <w:szCs w:val="18"/>
              </w:rPr>
              <w:t xml:space="preserve"> is an award-winning programme established to strengthen and transform professional development activities and classroom practices in India. Through a collaboration with 200 Indian and international teachers and teacher education experts, the programme has developed nearly 200 OERs in multiple languages. Indirectly, TESS-India also addresses the need and activities of the Government of India to significantly increase the number of qualified and trained teachers (in pre- and in-service teacher education) at India's elementary and secondary education levels.</w:t>
            </w:r>
          </w:p>
        </w:tc>
        <w:tc>
          <w:tcPr>
            <w:tcW w:w="1985" w:type="dxa"/>
            <w:vAlign w:val="center"/>
          </w:tcPr>
          <w:p w14:paraId="0EA6EF02" w14:textId="18BBB0B0" w:rsidR="005B35CE" w:rsidRPr="009450FB" w:rsidRDefault="005B35CE" w:rsidP="004305D9">
            <w:pPr>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9450FB">
              <w:rPr>
                <w:rFonts w:cs="Open Sans"/>
                <w:color w:val="000000"/>
                <w:sz w:val="18"/>
                <w:szCs w:val="18"/>
              </w:rPr>
              <w:t>CPD</w:t>
            </w:r>
          </w:p>
        </w:tc>
      </w:tr>
      <w:tr w:rsidR="005B35CE" w:rsidRPr="009450FB" w14:paraId="323206EC" w14:textId="77777777" w:rsidTr="00375BAE">
        <w:trPr>
          <w:trHeight w:val="706"/>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7376171E" w14:textId="77777777" w:rsidR="005B35CE" w:rsidRPr="009450FB" w:rsidRDefault="005B35CE" w:rsidP="003B2978">
            <w:pPr>
              <w:jc w:val="left"/>
              <w:rPr>
                <w:rFonts w:cs="Open Sans"/>
                <w:color w:val="000000"/>
                <w:sz w:val="18"/>
                <w:szCs w:val="18"/>
              </w:rPr>
            </w:pPr>
            <w:r w:rsidRPr="009450FB">
              <w:rPr>
                <w:rFonts w:cs="Open Sans"/>
                <w:color w:val="000000"/>
                <w:sz w:val="18"/>
                <w:szCs w:val="18"/>
              </w:rPr>
              <w:t>OER@AVU</w:t>
            </w:r>
          </w:p>
          <w:p w14:paraId="6EE79153" w14:textId="1461C92C" w:rsidR="005B35CE" w:rsidRPr="009450FB" w:rsidRDefault="005B35CE" w:rsidP="003B2978">
            <w:pPr>
              <w:jc w:val="left"/>
              <w:rPr>
                <w:rFonts w:cs="Open Sans"/>
                <w:sz w:val="18"/>
                <w:szCs w:val="18"/>
              </w:rPr>
            </w:pPr>
            <w:r w:rsidRPr="009450FB">
              <w:rPr>
                <w:rFonts w:cs="Open Sans"/>
                <w:sz w:val="18"/>
                <w:szCs w:val="18"/>
              </w:rPr>
              <w:t>(Kenya)</w:t>
            </w:r>
          </w:p>
        </w:tc>
        <w:tc>
          <w:tcPr>
            <w:tcW w:w="8363" w:type="dxa"/>
            <w:vAlign w:val="center"/>
          </w:tcPr>
          <w:p w14:paraId="44BF1749" w14:textId="066F466C" w:rsidR="005B35CE" w:rsidRPr="009450FB" w:rsidRDefault="005B35CE" w:rsidP="003B2978">
            <w:pPr>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9450FB">
              <w:rPr>
                <w:rFonts w:cs="Open Sans"/>
                <w:color w:val="000000"/>
                <w:sz w:val="18"/>
                <w:szCs w:val="18"/>
              </w:rPr>
              <w:t xml:space="preserve">The African Virtual University (AVU) launched its OER initiative called </w:t>
            </w:r>
            <w:hyperlink r:id="rId27" w:history="1">
              <w:r w:rsidRPr="009450FB">
                <w:rPr>
                  <w:rStyle w:val="Hyperlink"/>
                  <w:rFonts w:cs="Open Sans"/>
                  <w:sz w:val="18"/>
                  <w:szCs w:val="18"/>
                </w:rPr>
                <w:t>OER@AVU.</w:t>
              </w:r>
            </w:hyperlink>
            <w:r w:rsidRPr="009450FB">
              <w:rPr>
                <w:rFonts w:cs="Open Sans"/>
                <w:color w:val="000000"/>
                <w:sz w:val="18"/>
                <w:szCs w:val="18"/>
              </w:rPr>
              <w:t xml:space="preserve"> The initiative ran from 2011 to 2018, although the OER@AVU platform is still accessible. It was part of a larger project designed to increase access to affordable education at AVU’s 27 partner institutions spanning 22 countries. It sought to encourage the collaborative creation and sharing of open, distance, and e-learning resources.</w:t>
            </w:r>
          </w:p>
        </w:tc>
        <w:tc>
          <w:tcPr>
            <w:tcW w:w="1985" w:type="dxa"/>
            <w:vAlign w:val="center"/>
          </w:tcPr>
          <w:p w14:paraId="75ED61DE" w14:textId="77777777" w:rsidR="005B35CE" w:rsidRPr="009450FB" w:rsidRDefault="005B35CE" w:rsidP="004305D9">
            <w:pPr>
              <w:jc w:val="left"/>
              <w:cnfStyle w:val="000000000000" w:firstRow="0" w:lastRow="0" w:firstColumn="0" w:lastColumn="0" w:oddVBand="0" w:evenVBand="0" w:oddHBand="0" w:evenHBand="0" w:firstRowFirstColumn="0" w:firstRowLastColumn="0" w:lastRowFirstColumn="0" w:lastRowLastColumn="0"/>
              <w:rPr>
                <w:rFonts w:cs="Open Sans"/>
                <w:color w:val="000000"/>
                <w:sz w:val="18"/>
                <w:szCs w:val="18"/>
              </w:rPr>
            </w:pPr>
            <w:r w:rsidRPr="009450FB">
              <w:rPr>
                <w:rFonts w:cs="Open Sans"/>
                <w:color w:val="000000"/>
                <w:sz w:val="18"/>
                <w:szCs w:val="18"/>
              </w:rPr>
              <w:t>CPD</w:t>
            </w:r>
          </w:p>
          <w:p w14:paraId="71ED285A" w14:textId="2ED06A2D" w:rsidR="005B35CE" w:rsidRPr="009450FB" w:rsidRDefault="005B35CE" w:rsidP="004305D9">
            <w:pPr>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9450FB">
              <w:rPr>
                <w:rFonts w:cs="Open Sans"/>
                <w:color w:val="000000"/>
                <w:sz w:val="18"/>
                <w:szCs w:val="18"/>
              </w:rPr>
              <w:t>Access</w:t>
            </w:r>
          </w:p>
        </w:tc>
      </w:tr>
      <w:tr w:rsidR="005B35CE" w:rsidRPr="009450FB" w14:paraId="14722FEB" w14:textId="77777777" w:rsidTr="00375BAE">
        <w:trPr>
          <w:trHeight w:val="1539"/>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0C8602D0" w14:textId="77777777" w:rsidR="005B35CE" w:rsidRPr="009450FB" w:rsidRDefault="005B35CE" w:rsidP="003B2978">
            <w:pPr>
              <w:jc w:val="left"/>
              <w:rPr>
                <w:rFonts w:cs="Open Sans"/>
                <w:color w:val="000000"/>
                <w:sz w:val="18"/>
                <w:szCs w:val="18"/>
              </w:rPr>
            </w:pPr>
            <w:r w:rsidRPr="009450FB">
              <w:rPr>
                <w:rFonts w:cs="Open Sans"/>
                <w:color w:val="000000"/>
                <w:sz w:val="18"/>
                <w:szCs w:val="18"/>
              </w:rPr>
              <w:lastRenderedPageBreak/>
              <w:t>African Storybook</w:t>
            </w:r>
          </w:p>
          <w:p w14:paraId="444059E2" w14:textId="0C269D76" w:rsidR="005B35CE" w:rsidRPr="009450FB" w:rsidRDefault="005B35CE" w:rsidP="003B2978">
            <w:pPr>
              <w:jc w:val="left"/>
              <w:rPr>
                <w:rFonts w:cs="Open Sans"/>
                <w:sz w:val="18"/>
                <w:szCs w:val="18"/>
              </w:rPr>
            </w:pPr>
            <w:r w:rsidRPr="009450FB">
              <w:rPr>
                <w:rFonts w:cs="Open Sans"/>
                <w:sz w:val="18"/>
                <w:szCs w:val="18"/>
              </w:rPr>
              <w:t>(South Africa and other sub-Saharan African countries)</w:t>
            </w:r>
          </w:p>
        </w:tc>
        <w:tc>
          <w:tcPr>
            <w:tcW w:w="8363" w:type="dxa"/>
            <w:vAlign w:val="center"/>
          </w:tcPr>
          <w:p w14:paraId="73C51E3F" w14:textId="40737EAD" w:rsidR="005B35CE" w:rsidRPr="009450FB" w:rsidRDefault="004C2CC3" w:rsidP="003B2978">
            <w:pPr>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hyperlink r:id="rId28" w:history="1">
              <w:r w:rsidR="005B35CE" w:rsidRPr="009450FB">
                <w:rPr>
                  <w:rStyle w:val="Hyperlink"/>
                  <w:rFonts w:cs="Open Sans"/>
                  <w:sz w:val="18"/>
                  <w:szCs w:val="18"/>
                </w:rPr>
                <w:t>African Storybook</w:t>
              </w:r>
            </w:hyperlink>
            <w:r w:rsidR="005B35CE" w:rsidRPr="009450FB">
              <w:rPr>
                <w:rFonts w:cs="Open Sans"/>
                <w:color w:val="000000"/>
                <w:sz w:val="18"/>
                <w:szCs w:val="18"/>
              </w:rPr>
              <w:t xml:space="preserve"> is a multilingual literacy project working with educators and authors to create and publish openly licensed storybooks for early reading in the languages of Africa. The initiative was launched in 2014 to address the shortage of children’s literacy by providing storybooks in African languages. It is an initiative of Saide, a registered non-profit organization governed by a trust and based in Johannesburg, South Africa.</w:t>
            </w:r>
          </w:p>
        </w:tc>
        <w:tc>
          <w:tcPr>
            <w:tcW w:w="1985" w:type="dxa"/>
            <w:vAlign w:val="center"/>
          </w:tcPr>
          <w:p w14:paraId="29CF7F47" w14:textId="77777777" w:rsidR="005B35CE" w:rsidRPr="009450FB" w:rsidRDefault="005B35CE" w:rsidP="004305D9">
            <w:pPr>
              <w:jc w:val="left"/>
              <w:cnfStyle w:val="000000000000" w:firstRow="0" w:lastRow="0" w:firstColumn="0" w:lastColumn="0" w:oddVBand="0" w:evenVBand="0" w:oddHBand="0" w:evenHBand="0" w:firstRowFirstColumn="0" w:firstRowLastColumn="0" w:lastRowFirstColumn="0" w:lastRowLastColumn="0"/>
              <w:rPr>
                <w:rFonts w:cs="Open Sans"/>
                <w:color w:val="000000"/>
                <w:sz w:val="18"/>
                <w:szCs w:val="18"/>
              </w:rPr>
            </w:pPr>
            <w:r w:rsidRPr="009450FB">
              <w:rPr>
                <w:rFonts w:cs="Open Sans"/>
                <w:color w:val="000000"/>
                <w:sz w:val="18"/>
                <w:szCs w:val="18"/>
              </w:rPr>
              <w:t>Access</w:t>
            </w:r>
          </w:p>
          <w:p w14:paraId="6C264D59" w14:textId="185284C3" w:rsidR="005B35CE" w:rsidRPr="009450FB" w:rsidRDefault="005B35CE" w:rsidP="004305D9">
            <w:pPr>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9450FB">
              <w:rPr>
                <w:rFonts w:cs="Open Sans"/>
                <w:color w:val="000000"/>
                <w:sz w:val="18"/>
                <w:szCs w:val="18"/>
              </w:rPr>
              <w:t>Costs</w:t>
            </w:r>
          </w:p>
        </w:tc>
      </w:tr>
      <w:tr w:rsidR="005B35CE" w:rsidRPr="009450FB" w14:paraId="7370A707" w14:textId="77777777" w:rsidTr="00375BAE">
        <w:trPr>
          <w:trHeight w:val="2128"/>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35359420" w14:textId="77777777" w:rsidR="005B35CE" w:rsidRPr="009450FB" w:rsidRDefault="005B35CE" w:rsidP="003B2978">
            <w:pPr>
              <w:jc w:val="left"/>
              <w:rPr>
                <w:rFonts w:cs="Open Sans"/>
                <w:color w:val="000000"/>
                <w:sz w:val="18"/>
                <w:szCs w:val="18"/>
              </w:rPr>
            </w:pPr>
            <w:r w:rsidRPr="009450FB">
              <w:rPr>
                <w:rFonts w:cs="Open Sans"/>
                <w:color w:val="000000"/>
                <w:sz w:val="18"/>
                <w:szCs w:val="18"/>
              </w:rPr>
              <w:t>Zero Textbook Cost Degrees (aka: Z Degrees, OER Degrees, Zed Creds)</w:t>
            </w:r>
          </w:p>
          <w:p w14:paraId="7BA50317" w14:textId="63806CD5" w:rsidR="005B35CE" w:rsidRPr="009450FB" w:rsidRDefault="005B35CE" w:rsidP="003B2978">
            <w:pPr>
              <w:jc w:val="left"/>
              <w:rPr>
                <w:rFonts w:cs="Open Sans"/>
                <w:sz w:val="18"/>
                <w:szCs w:val="18"/>
              </w:rPr>
            </w:pPr>
            <w:r w:rsidRPr="009450FB">
              <w:rPr>
                <w:rFonts w:cs="Open Sans"/>
                <w:color w:val="000000"/>
                <w:sz w:val="18"/>
                <w:szCs w:val="18"/>
              </w:rPr>
              <w:t>(United States, Canada)</w:t>
            </w:r>
          </w:p>
        </w:tc>
        <w:tc>
          <w:tcPr>
            <w:tcW w:w="8363" w:type="dxa"/>
            <w:vAlign w:val="center"/>
          </w:tcPr>
          <w:p w14:paraId="04747674" w14:textId="01CC8DA1" w:rsidR="005B35CE" w:rsidRPr="009450FB" w:rsidRDefault="005B35CE" w:rsidP="003B2978">
            <w:pPr>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9450FB">
              <w:rPr>
                <w:rFonts w:cs="Open Sans"/>
                <w:color w:val="000000"/>
                <w:sz w:val="18"/>
                <w:szCs w:val="18"/>
              </w:rPr>
              <w:t>An OER Degree, sometimes referred to as a Z Degree, a zero textbook cost degree (ZTC Degree), or a Zed Cred,</w:t>
            </w:r>
            <w:r w:rsidRPr="009450FB">
              <w:rPr>
                <w:rStyle w:val="EndnoteReference"/>
                <w:rFonts w:cs="Open Sans"/>
                <w:color w:val="000000"/>
                <w:sz w:val="18"/>
                <w:szCs w:val="18"/>
              </w:rPr>
              <w:endnoteReference w:id="9"/>
            </w:r>
            <w:r w:rsidRPr="009450FB">
              <w:rPr>
                <w:rFonts w:cs="Open Sans"/>
                <w:color w:val="000000"/>
                <w:sz w:val="18"/>
                <w:szCs w:val="18"/>
              </w:rPr>
              <w:t xml:space="preserve"> is a complete pathway to a degree, certificate, or credential that has no or very low costs for instructional materials (typically less than US$30 per course per student). All courses in these degree pathways use OER or other instructional materials that are zero or very low cost to students. OER Degrees have been growing in the United States and Canada, particularly at community and technical colleges where textbook costs present a significant percentage of student costs.</w:t>
            </w:r>
          </w:p>
        </w:tc>
        <w:tc>
          <w:tcPr>
            <w:tcW w:w="1985" w:type="dxa"/>
            <w:vAlign w:val="center"/>
          </w:tcPr>
          <w:p w14:paraId="1083E6CE" w14:textId="77777777" w:rsidR="005B35CE" w:rsidRPr="009450FB" w:rsidRDefault="005B35CE" w:rsidP="004305D9">
            <w:pPr>
              <w:jc w:val="left"/>
              <w:cnfStyle w:val="000000000000" w:firstRow="0" w:lastRow="0" w:firstColumn="0" w:lastColumn="0" w:oddVBand="0" w:evenVBand="0" w:oddHBand="0" w:evenHBand="0" w:firstRowFirstColumn="0" w:firstRowLastColumn="0" w:lastRowFirstColumn="0" w:lastRowLastColumn="0"/>
              <w:rPr>
                <w:rFonts w:cs="Open Sans"/>
                <w:color w:val="000000"/>
                <w:sz w:val="18"/>
                <w:szCs w:val="18"/>
              </w:rPr>
            </w:pPr>
            <w:r w:rsidRPr="009450FB">
              <w:rPr>
                <w:rFonts w:cs="Open Sans"/>
                <w:color w:val="000000"/>
                <w:sz w:val="18"/>
                <w:szCs w:val="18"/>
              </w:rPr>
              <w:t>Access</w:t>
            </w:r>
          </w:p>
          <w:p w14:paraId="02F1059A" w14:textId="2F3A17D9" w:rsidR="005B35CE" w:rsidRPr="009450FB" w:rsidRDefault="005B35CE" w:rsidP="004305D9">
            <w:pPr>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9450FB">
              <w:rPr>
                <w:rFonts w:cs="Open Sans"/>
                <w:color w:val="000000"/>
                <w:sz w:val="18"/>
                <w:szCs w:val="18"/>
              </w:rPr>
              <w:t>Cost</w:t>
            </w:r>
          </w:p>
        </w:tc>
      </w:tr>
      <w:tr w:rsidR="005B35CE" w:rsidRPr="009450FB" w14:paraId="5B093C68" w14:textId="77777777" w:rsidTr="00375BAE">
        <w:trPr>
          <w:trHeight w:val="706"/>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62B19D59" w14:textId="77777777" w:rsidR="005B35CE" w:rsidRPr="009450FB" w:rsidRDefault="005B35CE" w:rsidP="003B2978">
            <w:pPr>
              <w:jc w:val="left"/>
              <w:rPr>
                <w:rFonts w:cs="Open Sans"/>
                <w:color w:val="000000"/>
                <w:sz w:val="18"/>
                <w:szCs w:val="18"/>
              </w:rPr>
            </w:pPr>
            <w:r w:rsidRPr="009450FB">
              <w:rPr>
                <w:rFonts w:cs="Open Sans"/>
                <w:color w:val="000000"/>
                <w:sz w:val="18"/>
                <w:szCs w:val="18"/>
              </w:rPr>
              <w:t>Trade Adjustment Assistance Community College and Career Training (TAACCCT)</w:t>
            </w:r>
          </w:p>
          <w:p w14:paraId="43C4BFB1" w14:textId="52EE3E0A" w:rsidR="005B35CE" w:rsidRPr="009450FB" w:rsidRDefault="005B35CE" w:rsidP="003B2978">
            <w:pPr>
              <w:jc w:val="left"/>
              <w:rPr>
                <w:rFonts w:cs="Open Sans"/>
                <w:sz w:val="18"/>
                <w:szCs w:val="18"/>
              </w:rPr>
            </w:pPr>
            <w:r w:rsidRPr="009450FB">
              <w:rPr>
                <w:rFonts w:cs="Open Sans"/>
                <w:color w:val="000000"/>
                <w:sz w:val="18"/>
                <w:szCs w:val="18"/>
              </w:rPr>
              <w:t>(USA)</w:t>
            </w:r>
          </w:p>
        </w:tc>
        <w:tc>
          <w:tcPr>
            <w:tcW w:w="8363" w:type="dxa"/>
            <w:vAlign w:val="center"/>
          </w:tcPr>
          <w:p w14:paraId="18CEF641" w14:textId="1288396C" w:rsidR="005B35CE" w:rsidRPr="009450FB" w:rsidRDefault="005B35CE" w:rsidP="003B2978">
            <w:pPr>
              <w:jc w:val="left"/>
              <w:cnfStyle w:val="000000000000" w:firstRow="0" w:lastRow="0" w:firstColumn="0" w:lastColumn="0" w:oddVBand="0" w:evenVBand="0" w:oddHBand="0" w:evenHBand="0" w:firstRowFirstColumn="0" w:firstRowLastColumn="0" w:lastRowFirstColumn="0" w:lastRowLastColumn="0"/>
              <w:rPr>
                <w:rFonts w:cs="Open Sans"/>
                <w:color w:val="000000"/>
                <w:sz w:val="18"/>
                <w:szCs w:val="18"/>
              </w:rPr>
            </w:pPr>
            <w:r w:rsidRPr="009450FB">
              <w:rPr>
                <w:rFonts w:cs="Open Sans"/>
                <w:color w:val="000000"/>
                <w:sz w:val="18"/>
                <w:szCs w:val="18"/>
              </w:rPr>
              <w:t xml:space="preserve">The US Department of Labour's </w:t>
            </w:r>
            <w:hyperlink r:id="rId29" w:history="1">
              <w:r w:rsidRPr="009450FB">
                <w:rPr>
                  <w:rStyle w:val="Hyperlink"/>
                  <w:rFonts w:cs="Open Sans"/>
                  <w:sz w:val="18"/>
                  <w:szCs w:val="18"/>
                </w:rPr>
                <w:t>Trade Adjustment Assistance Community College and Career Training (TAACCCT) grant programme</w:t>
              </w:r>
            </w:hyperlink>
            <w:r w:rsidRPr="009450FB">
              <w:rPr>
                <w:rFonts w:cs="Open Sans"/>
                <w:color w:val="000000"/>
                <w:sz w:val="18"/>
                <w:szCs w:val="18"/>
              </w:rPr>
              <w:t xml:space="preserve"> was a major investment to enable US community colleges to address the challenges of today's workforce. Grants were provided to community colleges to create new or redesigned degree programmes to help workers eligible for training under the Trade Adjustment Assistance for Workers programme, as well as other adults. TAACCCT targeted high priority industries: manufacturing, healthcare, information technology, energy, transportation, and a dozen other industry sectors. All materials produced by the grant funding were required to be openly licensed using the Creative Commons (CC) Attribution 4.0 licence (CC BY).</w:t>
            </w:r>
          </w:p>
          <w:p w14:paraId="56C9CF50" w14:textId="77777777" w:rsidR="005B35CE" w:rsidRPr="009450FB" w:rsidRDefault="005B35CE" w:rsidP="003B2978">
            <w:pPr>
              <w:jc w:val="left"/>
              <w:cnfStyle w:val="000000000000" w:firstRow="0" w:lastRow="0" w:firstColumn="0" w:lastColumn="0" w:oddVBand="0" w:evenVBand="0" w:oddHBand="0" w:evenHBand="0" w:firstRowFirstColumn="0" w:firstRowLastColumn="0" w:lastRowFirstColumn="0" w:lastRowLastColumn="0"/>
              <w:rPr>
                <w:rFonts w:cs="Open Sans"/>
                <w:color w:val="000000"/>
                <w:sz w:val="18"/>
                <w:szCs w:val="18"/>
              </w:rPr>
            </w:pPr>
          </w:p>
          <w:p w14:paraId="6DFAB55A" w14:textId="172316A4" w:rsidR="005B35CE" w:rsidRPr="009450FB" w:rsidRDefault="005B35CE" w:rsidP="003B2978">
            <w:pPr>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9450FB">
              <w:rPr>
                <w:rFonts w:cs="Open Sans"/>
                <w:color w:val="000000"/>
                <w:sz w:val="18"/>
                <w:szCs w:val="18"/>
              </w:rPr>
              <w:t xml:space="preserve">It was initiated in 2011 and ran until 2018, though the programme also funded the creation of an open library called </w:t>
            </w:r>
            <w:hyperlink r:id="rId30" w:history="1">
              <w:proofErr w:type="spellStart"/>
              <w:r w:rsidRPr="009450FB">
                <w:rPr>
                  <w:rStyle w:val="Hyperlink"/>
                  <w:rFonts w:cs="Open Sans"/>
                  <w:sz w:val="18"/>
                  <w:szCs w:val="18"/>
                </w:rPr>
                <w:t>SkillsCommons</w:t>
              </w:r>
              <w:proofErr w:type="spellEnd"/>
            </w:hyperlink>
            <w:r w:rsidRPr="009450FB">
              <w:rPr>
                <w:rFonts w:cs="Open Sans"/>
                <w:color w:val="000000"/>
                <w:sz w:val="18"/>
                <w:szCs w:val="18"/>
              </w:rPr>
              <w:t xml:space="preserve"> to host the TAACCCT-funded OER. It continues to provide free access to workforce training materials.</w:t>
            </w:r>
          </w:p>
        </w:tc>
        <w:tc>
          <w:tcPr>
            <w:tcW w:w="1985" w:type="dxa"/>
            <w:vAlign w:val="center"/>
          </w:tcPr>
          <w:p w14:paraId="38285E9B" w14:textId="77777777" w:rsidR="005B35CE" w:rsidRPr="009450FB" w:rsidRDefault="005B35CE" w:rsidP="004305D9">
            <w:pPr>
              <w:jc w:val="left"/>
              <w:cnfStyle w:val="000000000000" w:firstRow="0" w:lastRow="0" w:firstColumn="0" w:lastColumn="0" w:oddVBand="0" w:evenVBand="0" w:oddHBand="0" w:evenHBand="0" w:firstRowFirstColumn="0" w:firstRowLastColumn="0" w:lastRowFirstColumn="0" w:lastRowLastColumn="0"/>
              <w:rPr>
                <w:rFonts w:cs="Open Sans"/>
                <w:color w:val="000000"/>
                <w:sz w:val="18"/>
                <w:szCs w:val="18"/>
              </w:rPr>
            </w:pPr>
            <w:r w:rsidRPr="009450FB">
              <w:rPr>
                <w:rFonts w:cs="Open Sans"/>
                <w:color w:val="000000"/>
                <w:sz w:val="18"/>
                <w:szCs w:val="18"/>
              </w:rPr>
              <w:t>Access</w:t>
            </w:r>
          </w:p>
          <w:p w14:paraId="460C258C" w14:textId="7FC22FA7" w:rsidR="005B35CE" w:rsidRPr="009450FB" w:rsidRDefault="005B35CE" w:rsidP="004305D9">
            <w:pPr>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9450FB">
              <w:rPr>
                <w:rFonts w:cs="Open Sans"/>
                <w:color w:val="000000"/>
                <w:sz w:val="18"/>
                <w:szCs w:val="18"/>
              </w:rPr>
              <w:t>Learner outcomes</w:t>
            </w:r>
          </w:p>
        </w:tc>
      </w:tr>
      <w:tr w:rsidR="005B35CE" w:rsidRPr="009450FB" w14:paraId="4FE8E914" w14:textId="77777777" w:rsidTr="00375BAE">
        <w:trPr>
          <w:trHeight w:val="4231"/>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57AB2795" w14:textId="0E750EEA" w:rsidR="005B35CE" w:rsidRPr="009450FB" w:rsidRDefault="005B35CE" w:rsidP="003B2978">
            <w:pPr>
              <w:jc w:val="left"/>
              <w:rPr>
                <w:rFonts w:cs="Open Sans"/>
                <w:color w:val="000000"/>
                <w:sz w:val="18"/>
                <w:szCs w:val="18"/>
              </w:rPr>
            </w:pPr>
            <w:r w:rsidRPr="735A55BF">
              <w:rPr>
                <w:rFonts w:cs="Open Sans"/>
                <w:color w:val="000000" w:themeColor="text1"/>
                <w:sz w:val="18"/>
                <w:szCs w:val="18"/>
              </w:rPr>
              <w:lastRenderedPageBreak/>
              <w:t>Harnessing OER Practices to Drive Pedagogical Improvement: The Role of Continuing Professional Development</w:t>
            </w:r>
          </w:p>
          <w:p w14:paraId="0C5F45BD" w14:textId="5C1A5A2A" w:rsidR="005B35CE" w:rsidRPr="009450FB" w:rsidRDefault="005B35CE" w:rsidP="003B2978">
            <w:pPr>
              <w:jc w:val="left"/>
              <w:rPr>
                <w:rFonts w:cs="Open Sans"/>
                <w:sz w:val="18"/>
                <w:szCs w:val="18"/>
              </w:rPr>
            </w:pPr>
            <w:r w:rsidRPr="009450FB">
              <w:rPr>
                <w:rFonts w:cs="Open Sans"/>
                <w:sz w:val="18"/>
                <w:szCs w:val="18"/>
              </w:rPr>
              <w:t>(Ethiopia, Tanzania, Nigeria, and South Africa)</w:t>
            </w:r>
          </w:p>
        </w:tc>
        <w:tc>
          <w:tcPr>
            <w:tcW w:w="8363" w:type="dxa"/>
            <w:vAlign w:val="center"/>
          </w:tcPr>
          <w:p w14:paraId="7A01F1B1" w14:textId="77777777" w:rsidR="005B35CE" w:rsidRPr="009450FB" w:rsidRDefault="005B35CE" w:rsidP="003B2978">
            <w:pPr>
              <w:jc w:val="left"/>
              <w:cnfStyle w:val="000000000000" w:firstRow="0" w:lastRow="0" w:firstColumn="0" w:lastColumn="0" w:oddVBand="0" w:evenVBand="0" w:oddHBand="0" w:evenHBand="0" w:firstRowFirstColumn="0" w:firstRowLastColumn="0" w:lastRowFirstColumn="0" w:lastRowLastColumn="0"/>
              <w:rPr>
                <w:rFonts w:cs="Open Sans"/>
                <w:color w:val="000000"/>
                <w:sz w:val="18"/>
                <w:szCs w:val="18"/>
              </w:rPr>
            </w:pPr>
            <w:r w:rsidRPr="009450FB">
              <w:rPr>
                <w:rFonts w:cs="Open Sans"/>
                <w:color w:val="000000"/>
                <w:sz w:val="18"/>
                <w:szCs w:val="18"/>
              </w:rPr>
              <w:t xml:space="preserve">In mid-2017, OER Africa commenced a series of </w:t>
            </w:r>
            <w:hyperlink r:id="rId31" w:history="1">
              <w:r w:rsidRPr="009450FB">
                <w:rPr>
                  <w:rStyle w:val="Hyperlink"/>
                  <w:rFonts w:cs="Open Sans"/>
                  <w:sz w:val="18"/>
                  <w:szCs w:val="18"/>
                </w:rPr>
                <w:t>interrelated research activities</w:t>
              </w:r>
            </w:hyperlink>
            <w:r w:rsidRPr="009450FB">
              <w:rPr>
                <w:rFonts w:cs="Open Sans"/>
                <w:color w:val="000000"/>
                <w:sz w:val="18"/>
                <w:szCs w:val="18"/>
              </w:rPr>
              <w:t xml:space="preserve"> to explore the relationship between educationally effective use of OER and Continuous Professional Development (CPD) of African academics. The purpose of this work was to move beyond the rhetoric of the OER community to determine what effect the OER movement has had in educational systems and how sustainable this has been. In parallel with this reflection on the impact of OER practices, the OER Africa project team undertook a literature review on CPD needs and practices in African academia, with a focus on developing competencies in teaching and learning.</w:t>
            </w:r>
          </w:p>
          <w:p w14:paraId="37A21DD8" w14:textId="77777777" w:rsidR="005B35CE" w:rsidRPr="009450FB" w:rsidRDefault="005B35CE" w:rsidP="003B2978">
            <w:pPr>
              <w:jc w:val="left"/>
              <w:cnfStyle w:val="000000000000" w:firstRow="0" w:lastRow="0" w:firstColumn="0" w:lastColumn="0" w:oddVBand="0" w:evenVBand="0" w:oddHBand="0" w:evenHBand="0" w:firstRowFirstColumn="0" w:firstRowLastColumn="0" w:lastRowFirstColumn="0" w:lastRowLastColumn="0"/>
              <w:rPr>
                <w:rFonts w:cs="Open Sans"/>
                <w:color w:val="000000"/>
                <w:sz w:val="18"/>
                <w:szCs w:val="18"/>
              </w:rPr>
            </w:pPr>
          </w:p>
          <w:p w14:paraId="3E0322FA" w14:textId="615FBBC3" w:rsidR="005B35CE" w:rsidRPr="009450FB" w:rsidRDefault="005B35CE" w:rsidP="003B2978">
            <w:pPr>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9450FB">
              <w:rPr>
                <w:rFonts w:cs="Open Sans"/>
                <w:color w:val="000000"/>
                <w:sz w:val="18"/>
                <w:szCs w:val="18"/>
              </w:rPr>
              <w:t>These two lines of enquiry provided a platform for practical work with universities, which had two priorities: first, to learn more about academic CPD needs by conducting surveys amongst academics and collating the results; and, second, to develop and test a range of professional development activities and approaches that might respond to these needs.</w:t>
            </w:r>
          </w:p>
        </w:tc>
        <w:tc>
          <w:tcPr>
            <w:tcW w:w="1985" w:type="dxa"/>
            <w:vAlign w:val="center"/>
          </w:tcPr>
          <w:p w14:paraId="196196F5" w14:textId="30B30EF1" w:rsidR="005B35CE" w:rsidRPr="009450FB" w:rsidRDefault="005B35CE" w:rsidP="004305D9">
            <w:pPr>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9450FB">
              <w:rPr>
                <w:rFonts w:cs="Open Sans"/>
                <w:color w:val="000000"/>
                <w:sz w:val="18"/>
                <w:szCs w:val="18"/>
              </w:rPr>
              <w:t>CPD</w:t>
            </w:r>
          </w:p>
        </w:tc>
      </w:tr>
    </w:tbl>
    <w:p w14:paraId="2A281AF7" w14:textId="283C6603" w:rsidR="005B35CE" w:rsidRDefault="005B35CE" w:rsidP="0052617E">
      <w:pPr>
        <w:pStyle w:val="Heading2"/>
      </w:pPr>
      <w:r>
        <w:t>Successes and impact</w:t>
      </w:r>
    </w:p>
    <w:p w14:paraId="12B048DE" w14:textId="11124849" w:rsidR="005B35CE" w:rsidRDefault="005B35CE" w:rsidP="0052617E">
      <w:pPr>
        <w:rPr>
          <w:lang w:val="en-GB"/>
        </w:rPr>
      </w:pPr>
      <w:r w:rsidRPr="00D62BA4">
        <w:t xml:space="preserve">The research demonstrated that initiatives have achieved notable successes in the four areas of enquiry. They have increased access to education and educational materials by creating new materials and/or reusing and adapting them, and, in so doing, have received various awards. There was also evidence of initiatives </w:t>
      </w:r>
      <w:r w:rsidRPr="00D62BA4">
        <w:rPr>
          <w:lang w:val="en-GB"/>
        </w:rPr>
        <w:t>enabling CPD and skills development. Regarding learner outcomes, some initiatives demonstrated increased retention rates, increased pass and graduation rates, and an increased rate of employment amongst students. Moreover, cost savings have been experienced by institutions and students.</w:t>
      </w:r>
    </w:p>
    <w:p w14:paraId="30D7247E" w14:textId="77777777" w:rsidR="005B35CE" w:rsidRDefault="005B35CE" w:rsidP="0052617E">
      <w:pPr>
        <w:rPr>
          <w:lang w:val="en-GB"/>
        </w:rPr>
      </w:pPr>
    </w:p>
    <w:p w14:paraId="0CB86FA3" w14:textId="170B78AC" w:rsidR="00E043F7" w:rsidRDefault="00F60318" w:rsidP="00F60318">
      <w:pPr>
        <w:pStyle w:val="TableReference"/>
        <w:rPr>
          <w:lang w:val="en-GB"/>
        </w:rPr>
      </w:pPr>
      <w:r>
        <w:rPr>
          <w:lang w:val="en-GB"/>
        </w:rPr>
        <w:t>Case study successes and impact</w:t>
      </w:r>
    </w:p>
    <w:tbl>
      <w:tblPr>
        <w:tblStyle w:val="GridTable1Light-Accent1"/>
        <w:tblW w:w="0" w:type="auto"/>
        <w:tblLook w:val="04A0" w:firstRow="1" w:lastRow="0" w:firstColumn="1" w:lastColumn="0" w:noHBand="0" w:noVBand="1"/>
      </w:tblPr>
      <w:tblGrid>
        <w:gridCol w:w="3681"/>
        <w:gridCol w:w="6520"/>
        <w:gridCol w:w="3747"/>
      </w:tblGrid>
      <w:tr w:rsidR="005B35CE" w14:paraId="7C708699" w14:textId="77777777" w:rsidTr="00AE3B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81" w:type="dxa"/>
            <w:shd w:val="clear" w:color="auto" w:fill="D2BEEB"/>
            <w:vAlign w:val="center"/>
          </w:tcPr>
          <w:p w14:paraId="34BCC046" w14:textId="242FB541" w:rsidR="005B35CE" w:rsidRPr="009450FB" w:rsidRDefault="005B35CE" w:rsidP="00AE3BC9">
            <w:pPr>
              <w:jc w:val="left"/>
              <w:rPr>
                <w:rFonts w:cs="Open Sans"/>
                <w:sz w:val="18"/>
                <w:szCs w:val="18"/>
              </w:rPr>
            </w:pPr>
            <w:r>
              <w:rPr>
                <w:rFonts w:cs="Open Sans"/>
                <w:sz w:val="18"/>
                <w:szCs w:val="18"/>
              </w:rPr>
              <w:t>Summary of overarching t</w:t>
            </w:r>
            <w:r w:rsidRPr="009450FB">
              <w:rPr>
                <w:rFonts w:cs="Open Sans"/>
                <w:sz w:val="18"/>
                <w:szCs w:val="18"/>
              </w:rPr>
              <w:t>hemes</w:t>
            </w:r>
          </w:p>
        </w:tc>
        <w:tc>
          <w:tcPr>
            <w:tcW w:w="6520" w:type="dxa"/>
            <w:shd w:val="clear" w:color="auto" w:fill="D2BEEB"/>
            <w:vAlign w:val="center"/>
          </w:tcPr>
          <w:p w14:paraId="48290463" w14:textId="09EE759C" w:rsidR="005B35CE" w:rsidRPr="009450FB" w:rsidRDefault="005B35CE" w:rsidP="00AE3BC9">
            <w:pPr>
              <w:jc w:val="left"/>
              <w:cnfStyle w:val="100000000000" w:firstRow="1" w:lastRow="0" w:firstColumn="0" w:lastColumn="0" w:oddVBand="0" w:evenVBand="0" w:oddHBand="0" w:evenHBand="0" w:firstRowFirstColumn="0" w:firstRowLastColumn="0" w:lastRowFirstColumn="0" w:lastRowLastColumn="0"/>
              <w:rPr>
                <w:rFonts w:cs="Open Sans"/>
                <w:sz w:val="18"/>
                <w:szCs w:val="18"/>
              </w:rPr>
            </w:pPr>
            <w:r w:rsidRPr="009450FB">
              <w:rPr>
                <w:rFonts w:cs="Open Sans"/>
                <w:sz w:val="18"/>
                <w:szCs w:val="18"/>
              </w:rPr>
              <w:t>Findings</w:t>
            </w:r>
          </w:p>
        </w:tc>
        <w:tc>
          <w:tcPr>
            <w:tcW w:w="3747" w:type="dxa"/>
            <w:shd w:val="clear" w:color="auto" w:fill="D2BEEB"/>
            <w:vAlign w:val="center"/>
          </w:tcPr>
          <w:p w14:paraId="689A2454" w14:textId="0FB89EBC" w:rsidR="005B35CE" w:rsidRPr="009450FB" w:rsidRDefault="005B35CE" w:rsidP="00AE3BC9">
            <w:pPr>
              <w:jc w:val="left"/>
              <w:cnfStyle w:val="100000000000" w:firstRow="1" w:lastRow="0" w:firstColumn="0" w:lastColumn="0" w:oddVBand="0" w:evenVBand="0" w:oddHBand="0" w:evenHBand="0" w:firstRowFirstColumn="0" w:firstRowLastColumn="0" w:lastRowFirstColumn="0" w:lastRowLastColumn="0"/>
              <w:rPr>
                <w:rFonts w:cs="Open Sans"/>
                <w:sz w:val="18"/>
                <w:szCs w:val="18"/>
              </w:rPr>
            </w:pPr>
            <w:r w:rsidRPr="009450FB">
              <w:rPr>
                <w:rFonts w:cs="Open Sans"/>
                <w:sz w:val="18"/>
                <w:szCs w:val="18"/>
              </w:rPr>
              <w:t>Evidence in case studies</w:t>
            </w:r>
          </w:p>
        </w:tc>
      </w:tr>
      <w:tr w:rsidR="005B35CE" w14:paraId="052A3711" w14:textId="77777777" w:rsidTr="00AE3BC9">
        <w:trPr>
          <w:trHeight w:val="305"/>
        </w:trPr>
        <w:tc>
          <w:tcPr>
            <w:cnfStyle w:val="001000000000" w:firstRow="0" w:lastRow="0" w:firstColumn="1" w:lastColumn="0" w:oddVBand="0" w:evenVBand="0" w:oddHBand="0" w:evenHBand="0" w:firstRowFirstColumn="0" w:firstRowLastColumn="0" w:lastRowFirstColumn="0" w:lastRowLastColumn="0"/>
            <w:tcW w:w="3681" w:type="dxa"/>
            <w:vMerge w:val="restart"/>
            <w:vAlign w:val="center"/>
          </w:tcPr>
          <w:p w14:paraId="03E8A4DB" w14:textId="633BADC2" w:rsidR="005B35CE" w:rsidRPr="009450FB" w:rsidRDefault="005B35CE" w:rsidP="00AE3BC9">
            <w:pPr>
              <w:jc w:val="left"/>
              <w:rPr>
                <w:rFonts w:cs="Open Sans"/>
                <w:b w:val="0"/>
                <w:bCs w:val="0"/>
                <w:sz w:val="18"/>
                <w:szCs w:val="18"/>
              </w:rPr>
            </w:pPr>
            <w:r w:rsidRPr="009450FB">
              <w:rPr>
                <w:rFonts w:cs="Open Sans"/>
                <w:b w:val="0"/>
                <w:bCs w:val="0"/>
                <w:sz w:val="18"/>
                <w:szCs w:val="18"/>
              </w:rPr>
              <w:t xml:space="preserve">Initiatives have </w:t>
            </w:r>
            <w:r w:rsidRPr="00AB5225">
              <w:rPr>
                <w:rFonts w:cs="Open Sans"/>
                <w:sz w:val="18"/>
                <w:szCs w:val="18"/>
              </w:rPr>
              <w:t>increased access to education and educational materials</w:t>
            </w:r>
            <w:r w:rsidRPr="009450FB">
              <w:rPr>
                <w:rFonts w:cs="Open Sans"/>
                <w:b w:val="0"/>
                <w:bCs w:val="0"/>
                <w:sz w:val="18"/>
                <w:szCs w:val="18"/>
              </w:rPr>
              <w:t xml:space="preserve"> in various ways. Through their activities, </w:t>
            </w:r>
            <w:r w:rsidRPr="009450FB">
              <w:rPr>
                <w:rFonts w:cs="Open Sans"/>
                <w:b w:val="0"/>
                <w:bCs w:val="0"/>
                <w:sz w:val="18"/>
                <w:szCs w:val="18"/>
              </w:rPr>
              <w:lastRenderedPageBreak/>
              <w:t>initiatives developed educational materials, re-using and remixing them, as well as localizing materials, with many citing large numbers of users.</w:t>
            </w:r>
          </w:p>
        </w:tc>
        <w:tc>
          <w:tcPr>
            <w:tcW w:w="6520" w:type="dxa"/>
            <w:vAlign w:val="center"/>
          </w:tcPr>
          <w:p w14:paraId="0F09100C" w14:textId="3F23A8EB" w:rsidR="005B35CE" w:rsidRPr="009450FB" w:rsidRDefault="005B35CE" w:rsidP="00AE3BC9">
            <w:pPr>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9450FB">
              <w:rPr>
                <w:rFonts w:cs="Open Sans"/>
                <w:sz w:val="18"/>
                <w:szCs w:val="18"/>
              </w:rPr>
              <w:lastRenderedPageBreak/>
              <w:t xml:space="preserve">Creating, </w:t>
            </w:r>
            <w:r>
              <w:rPr>
                <w:rFonts w:cs="Open Sans"/>
                <w:sz w:val="18"/>
                <w:szCs w:val="18"/>
              </w:rPr>
              <w:t xml:space="preserve">degrees, </w:t>
            </w:r>
            <w:r w:rsidRPr="009450FB">
              <w:rPr>
                <w:rFonts w:cs="Open Sans"/>
                <w:sz w:val="18"/>
                <w:szCs w:val="18"/>
              </w:rPr>
              <w:t>modules, courses, storybooks, toolkits, and other materials</w:t>
            </w:r>
            <w:r>
              <w:rPr>
                <w:rFonts w:cs="Open Sans"/>
                <w:sz w:val="18"/>
                <w:szCs w:val="18"/>
              </w:rPr>
              <w:t>.</w:t>
            </w:r>
          </w:p>
        </w:tc>
        <w:tc>
          <w:tcPr>
            <w:tcW w:w="3747" w:type="dxa"/>
            <w:vAlign w:val="center"/>
          </w:tcPr>
          <w:p w14:paraId="0339148A" w14:textId="77777777" w:rsidR="005B35CE" w:rsidRPr="00C87E5D" w:rsidRDefault="005B35CE" w:rsidP="00C87E5D">
            <w:pPr>
              <w:pStyle w:val="ListParagraph"/>
              <w:numPr>
                <w:ilvl w:val="0"/>
                <w:numId w:val="39"/>
              </w:numPr>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C87E5D">
              <w:rPr>
                <w:rFonts w:cs="Open Sans"/>
                <w:sz w:val="18"/>
                <w:szCs w:val="18"/>
              </w:rPr>
              <w:t>OER@AVU</w:t>
            </w:r>
          </w:p>
          <w:p w14:paraId="3FD5AC5B" w14:textId="77777777" w:rsidR="005B35CE" w:rsidRPr="00C87E5D" w:rsidRDefault="005B35CE" w:rsidP="00C87E5D">
            <w:pPr>
              <w:pStyle w:val="ListParagraph"/>
              <w:numPr>
                <w:ilvl w:val="0"/>
                <w:numId w:val="39"/>
              </w:numPr>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C87E5D">
              <w:rPr>
                <w:rFonts w:cs="Open Sans"/>
                <w:sz w:val="18"/>
                <w:szCs w:val="18"/>
              </w:rPr>
              <w:t>African Storybook</w:t>
            </w:r>
          </w:p>
          <w:p w14:paraId="372D3D99" w14:textId="77777777" w:rsidR="005B35CE" w:rsidRPr="00C87E5D" w:rsidRDefault="005B35CE" w:rsidP="00C87E5D">
            <w:pPr>
              <w:pStyle w:val="ListParagraph"/>
              <w:numPr>
                <w:ilvl w:val="0"/>
                <w:numId w:val="39"/>
              </w:numPr>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C87E5D">
              <w:rPr>
                <w:rFonts w:cs="Open Sans"/>
                <w:sz w:val="18"/>
                <w:szCs w:val="18"/>
              </w:rPr>
              <w:t>TESS-India</w:t>
            </w:r>
          </w:p>
          <w:p w14:paraId="1B36FB82" w14:textId="77777777" w:rsidR="005B35CE" w:rsidRPr="00C87E5D" w:rsidRDefault="005B35CE" w:rsidP="00C87E5D">
            <w:pPr>
              <w:pStyle w:val="ListParagraph"/>
              <w:numPr>
                <w:ilvl w:val="0"/>
                <w:numId w:val="39"/>
              </w:numPr>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C87E5D">
              <w:rPr>
                <w:rFonts w:cs="Open Sans"/>
                <w:sz w:val="18"/>
                <w:szCs w:val="18"/>
              </w:rPr>
              <w:lastRenderedPageBreak/>
              <w:t>TAACCCT</w:t>
            </w:r>
          </w:p>
          <w:p w14:paraId="74BC62DC" w14:textId="5F8D4D15" w:rsidR="005B35CE" w:rsidRPr="00C87E5D" w:rsidRDefault="000175E2" w:rsidP="00C87E5D">
            <w:pPr>
              <w:pStyle w:val="ListParagraph"/>
              <w:numPr>
                <w:ilvl w:val="0"/>
                <w:numId w:val="39"/>
              </w:numPr>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Pr>
                <w:rFonts w:cs="Open Sans"/>
                <w:sz w:val="18"/>
                <w:szCs w:val="18"/>
              </w:rPr>
              <w:t xml:space="preserve">OER </w:t>
            </w:r>
            <w:r w:rsidR="005B35CE" w:rsidRPr="00C87E5D">
              <w:rPr>
                <w:rFonts w:cs="Open Sans"/>
                <w:sz w:val="18"/>
                <w:szCs w:val="18"/>
              </w:rPr>
              <w:t>Degrees</w:t>
            </w:r>
          </w:p>
          <w:p w14:paraId="69B94F75" w14:textId="0DE74299" w:rsidR="005B35CE" w:rsidRPr="00C87E5D" w:rsidRDefault="005B35CE" w:rsidP="00C87E5D">
            <w:pPr>
              <w:pStyle w:val="ListParagraph"/>
              <w:numPr>
                <w:ilvl w:val="0"/>
                <w:numId w:val="39"/>
              </w:numPr>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proofErr w:type="spellStart"/>
            <w:r w:rsidRPr="00C87E5D">
              <w:rPr>
                <w:rFonts w:cs="Open Sans"/>
                <w:sz w:val="18"/>
                <w:szCs w:val="18"/>
              </w:rPr>
              <w:t>LiDA</w:t>
            </w:r>
            <w:proofErr w:type="spellEnd"/>
          </w:p>
        </w:tc>
      </w:tr>
      <w:tr w:rsidR="005B35CE" w14:paraId="0400B7BE" w14:textId="77777777" w:rsidTr="00AE3BC9">
        <w:trPr>
          <w:trHeight w:val="837"/>
        </w:trPr>
        <w:tc>
          <w:tcPr>
            <w:cnfStyle w:val="001000000000" w:firstRow="0" w:lastRow="0" w:firstColumn="1" w:lastColumn="0" w:oddVBand="0" w:evenVBand="0" w:oddHBand="0" w:evenHBand="0" w:firstRowFirstColumn="0" w:firstRowLastColumn="0" w:lastRowFirstColumn="0" w:lastRowLastColumn="0"/>
            <w:tcW w:w="3681" w:type="dxa"/>
            <w:vMerge/>
            <w:vAlign w:val="center"/>
          </w:tcPr>
          <w:p w14:paraId="3F8F2872" w14:textId="77777777" w:rsidR="005B35CE" w:rsidRPr="009450FB" w:rsidRDefault="005B35CE" w:rsidP="00AE3BC9">
            <w:pPr>
              <w:jc w:val="left"/>
              <w:rPr>
                <w:rFonts w:cs="Open Sans"/>
                <w:b w:val="0"/>
                <w:bCs w:val="0"/>
                <w:sz w:val="18"/>
                <w:szCs w:val="18"/>
              </w:rPr>
            </w:pPr>
          </w:p>
        </w:tc>
        <w:tc>
          <w:tcPr>
            <w:tcW w:w="6520" w:type="dxa"/>
            <w:vAlign w:val="center"/>
          </w:tcPr>
          <w:p w14:paraId="720F69C3" w14:textId="241EA7AE" w:rsidR="005B35CE" w:rsidRPr="009450FB" w:rsidRDefault="005B35CE" w:rsidP="00AE3BC9">
            <w:pPr>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9450FB">
              <w:rPr>
                <w:rFonts w:cs="Open Sans"/>
                <w:sz w:val="18"/>
                <w:szCs w:val="18"/>
              </w:rPr>
              <w:t>Reusing, remixing, localizing, and redesigning educational materials</w:t>
            </w:r>
            <w:r>
              <w:rPr>
                <w:rFonts w:cs="Open Sans"/>
                <w:sz w:val="18"/>
                <w:szCs w:val="18"/>
              </w:rPr>
              <w:t>.</w:t>
            </w:r>
          </w:p>
        </w:tc>
        <w:tc>
          <w:tcPr>
            <w:tcW w:w="3747" w:type="dxa"/>
            <w:vAlign w:val="center"/>
          </w:tcPr>
          <w:p w14:paraId="136F44D0" w14:textId="77777777" w:rsidR="005B35CE" w:rsidRPr="00C87E5D" w:rsidRDefault="005B35CE" w:rsidP="00C87E5D">
            <w:pPr>
              <w:pStyle w:val="ListParagraph"/>
              <w:numPr>
                <w:ilvl w:val="0"/>
                <w:numId w:val="39"/>
              </w:numPr>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C87E5D">
              <w:rPr>
                <w:rFonts w:cs="Open Sans"/>
                <w:sz w:val="18"/>
                <w:szCs w:val="18"/>
              </w:rPr>
              <w:t>TAACCCT</w:t>
            </w:r>
          </w:p>
          <w:p w14:paraId="2EAF95BD" w14:textId="77777777" w:rsidR="005B35CE" w:rsidRPr="00C87E5D" w:rsidRDefault="005B35CE" w:rsidP="00C87E5D">
            <w:pPr>
              <w:pStyle w:val="ListParagraph"/>
              <w:numPr>
                <w:ilvl w:val="0"/>
                <w:numId w:val="39"/>
              </w:numPr>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C87E5D">
              <w:rPr>
                <w:rFonts w:cs="Open Sans"/>
                <w:sz w:val="18"/>
                <w:szCs w:val="18"/>
              </w:rPr>
              <w:t>African Storybook</w:t>
            </w:r>
          </w:p>
          <w:p w14:paraId="060E9AD2" w14:textId="77777777" w:rsidR="005B35CE" w:rsidRPr="00C87E5D" w:rsidRDefault="005B35CE" w:rsidP="00C87E5D">
            <w:pPr>
              <w:pStyle w:val="ListParagraph"/>
              <w:numPr>
                <w:ilvl w:val="0"/>
                <w:numId w:val="39"/>
              </w:numPr>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C87E5D">
              <w:rPr>
                <w:rFonts w:cs="Open Sans"/>
                <w:sz w:val="18"/>
                <w:szCs w:val="18"/>
              </w:rPr>
              <w:t>TESS-India</w:t>
            </w:r>
          </w:p>
          <w:p w14:paraId="5311C7BA" w14:textId="77777777" w:rsidR="005B35CE" w:rsidRPr="00C87E5D" w:rsidRDefault="005B35CE" w:rsidP="00C87E5D">
            <w:pPr>
              <w:pStyle w:val="ListParagraph"/>
              <w:numPr>
                <w:ilvl w:val="0"/>
                <w:numId w:val="39"/>
              </w:numPr>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proofErr w:type="spellStart"/>
            <w:r w:rsidRPr="00C87E5D">
              <w:rPr>
                <w:rFonts w:cs="Open Sans"/>
                <w:sz w:val="18"/>
                <w:szCs w:val="18"/>
              </w:rPr>
              <w:t>LiDA</w:t>
            </w:r>
            <w:proofErr w:type="spellEnd"/>
          </w:p>
          <w:p w14:paraId="54596190" w14:textId="092B9F41" w:rsidR="005B35CE" w:rsidRPr="00C87E5D" w:rsidRDefault="005B35CE" w:rsidP="00C87E5D">
            <w:pPr>
              <w:pStyle w:val="ListParagraph"/>
              <w:numPr>
                <w:ilvl w:val="0"/>
                <w:numId w:val="39"/>
              </w:numPr>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C87E5D">
              <w:rPr>
                <w:rFonts w:cs="Open Sans"/>
                <w:sz w:val="18"/>
                <w:szCs w:val="18"/>
              </w:rPr>
              <w:t>OER@AVU</w:t>
            </w:r>
          </w:p>
        </w:tc>
      </w:tr>
      <w:tr w:rsidR="005B35CE" w14:paraId="23AA1088" w14:textId="77777777" w:rsidTr="00AE3BC9">
        <w:trPr>
          <w:trHeight w:val="563"/>
        </w:trPr>
        <w:tc>
          <w:tcPr>
            <w:cnfStyle w:val="001000000000" w:firstRow="0" w:lastRow="0" w:firstColumn="1" w:lastColumn="0" w:oddVBand="0" w:evenVBand="0" w:oddHBand="0" w:evenHBand="0" w:firstRowFirstColumn="0" w:firstRowLastColumn="0" w:lastRowFirstColumn="0" w:lastRowLastColumn="0"/>
            <w:tcW w:w="3681" w:type="dxa"/>
            <w:vMerge/>
            <w:vAlign w:val="center"/>
          </w:tcPr>
          <w:p w14:paraId="2A95B31D" w14:textId="77777777" w:rsidR="005B35CE" w:rsidRPr="009450FB" w:rsidRDefault="005B35CE" w:rsidP="00AE3BC9">
            <w:pPr>
              <w:jc w:val="left"/>
              <w:rPr>
                <w:rFonts w:cs="Open Sans"/>
                <w:b w:val="0"/>
                <w:bCs w:val="0"/>
                <w:sz w:val="18"/>
                <w:szCs w:val="18"/>
              </w:rPr>
            </w:pPr>
          </w:p>
        </w:tc>
        <w:tc>
          <w:tcPr>
            <w:tcW w:w="6520" w:type="dxa"/>
            <w:vAlign w:val="center"/>
          </w:tcPr>
          <w:p w14:paraId="4C053720" w14:textId="268BDCC2" w:rsidR="005B35CE" w:rsidRPr="009450FB" w:rsidRDefault="005B35CE" w:rsidP="00AE3BC9">
            <w:pPr>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9450FB">
              <w:rPr>
                <w:rFonts w:cs="Open Sans"/>
                <w:sz w:val="18"/>
                <w:szCs w:val="18"/>
              </w:rPr>
              <w:t>Evidence that access to OER positively impacted instructors’ ability to repurpose OER for their local course context</w:t>
            </w:r>
            <w:r w:rsidR="008B3DA1">
              <w:rPr>
                <w:rFonts w:cs="Open Sans"/>
                <w:sz w:val="18"/>
                <w:szCs w:val="18"/>
              </w:rPr>
              <w:t xml:space="preserve"> and increased access to educational materials</w:t>
            </w:r>
            <w:r w:rsidR="00DA4E93">
              <w:rPr>
                <w:rFonts w:cs="Open Sans"/>
                <w:sz w:val="18"/>
                <w:szCs w:val="18"/>
              </w:rPr>
              <w:t>.</w:t>
            </w:r>
          </w:p>
        </w:tc>
        <w:tc>
          <w:tcPr>
            <w:tcW w:w="3747" w:type="dxa"/>
            <w:vAlign w:val="center"/>
          </w:tcPr>
          <w:p w14:paraId="090CBE17" w14:textId="77777777" w:rsidR="005B35CE" w:rsidRPr="00C87E5D" w:rsidRDefault="005B35CE" w:rsidP="00C87E5D">
            <w:pPr>
              <w:pStyle w:val="ListParagraph"/>
              <w:numPr>
                <w:ilvl w:val="0"/>
                <w:numId w:val="39"/>
              </w:numPr>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C87E5D">
              <w:rPr>
                <w:rFonts w:cs="Open Sans"/>
                <w:sz w:val="18"/>
                <w:szCs w:val="18"/>
              </w:rPr>
              <w:t>OER@AVU</w:t>
            </w:r>
          </w:p>
          <w:p w14:paraId="2692BBE6" w14:textId="77777777" w:rsidR="005B35CE" w:rsidRDefault="005B35CE" w:rsidP="00C87E5D">
            <w:pPr>
              <w:pStyle w:val="ListParagraph"/>
              <w:numPr>
                <w:ilvl w:val="0"/>
                <w:numId w:val="39"/>
              </w:numPr>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proofErr w:type="spellStart"/>
            <w:r w:rsidRPr="00C87E5D">
              <w:rPr>
                <w:rFonts w:cs="Open Sans"/>
                <w:sz w:val="18"/>
                <w:szCs w:val="18"/>
              </w:rPr>
              <w:t>LiDA</w:t>
            </w:r>
            <w:proofErr w:type="spellEnd"/>
          </w:p>
          <w:p w14:paraId="7F20AD6C" w14:textId="3C8BF2C0" w:rsidR="008B3DA1" w:rsidRPr="00C87E5D" w:rsidRDefault="000175E2" w:rsidP="00C87E5D">
            <w:pPr>
              <w:pStyle w:val="ListParagraph"/>
              <w:numPr>
                <w:ilvl w:val="0"/>
                <w:numId w:val="39"/>
              </w:numPr>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Pr>
                <w:rFonts w:cs="Open Sans"/>
                <w:sz w:val="18"/>
                <w:szCs w:val="18"/>
              </w:rPr>
              <w:t xml:space="preserve">OER </w:t>
            </w:r>
            <w:r w:rsidR="008B3DA1">
              <w:rPr>
                <w:rFonts w:cs="Open Sans"/>
                <w:sz w:val="18"/>
                <w:szCs w:val="18"/>
              </w:rPr>
              <w:t>Degrees</w:t>
            </w:r>
          </w:p>
        </w:tc>
      </w:tr>
      <w:tr w:rsidR="005B35CE" w14:paraId="3CB16E31" w14:textId="77777777" w:rsidTr="00AE3BC9">
        <w:trPr>
          <w:trHeight w:val="1109"/>
        </w:trPr>
        <w:tc>
          <w:tcPr>
            <w:cnfStyle w:val="001000000000" w:firstRow="0" w:lastRow="0" w:firstColumn="1" w:lastColumn="0" w:oddVBand="0" w:evenVBand="0" w:oddHBand="0" w:evenHBand="0" w:firstRowFirstColumn="0" w:firstRowLastColumn="0" w:lastRowFirstColumn="0" w:lastRowLastColumn="0"/>
            <w:tcW w:w="3681" w:type="dxa"/>
            <w:vMerge/>
            <w:vAlign w:val="center"/>
          </w:tcPr>
          <w:p w14:paraId="4E48F477" w14:textId="77777777" w:rsidR="005B35CE" w:rsidRPr="009450FB" w:rsidRDefault="005B35CE" w:rsidP="00AE3BC9">
            <w:pPr>
              <w:jc w:val="left"/>
              <w:rPr>
                <w:rFonts w:cs="Open Sans"/>
                <w:b w:val="0"/>
                <w:bCs w:val="0"/>
                <w:sz w:val="18"/>
                <w:szCs w:val="18"/>
              </w:rPr>
            </w:pPr>
          </w:p>
        </w:tc>
        <w:tc>
          <w:tcPr>
            <w:tcW w:w="6520" w:type="dxa"/>
            <w:vAlign w:val="center"/>
          </w:tcPr>
          <w:p w14:paraId="5FD768DF" w14:textId="4818BAA6" w:rsidR="005B35CE" w:rsidRPr="009450FB" w:rsidRDefault="005B35CE" w:rsidP="00AE3BC9">
            <w:pPr>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9450FB">
              <w:rPr>
                <w:rFonts w:cs="Open Sans"/>
                <w:sz w:val="18"/>
                <w:szCs w:val="18"/>
              </w:rPr>
              <w:t xml:space="preserve">Awards </w:t>
            </w:r>
            <w:r>
              <w:rPr>
                <w:rFonts w:cs="Open Sans"/>
                <w:sz w:val="18"/>
                <w:szCs w:val="18"/>
              </w:rPr>
              <w:t>from</w:t>
            </w:r>
            <w:r w:rsidRPr="009450FB">
              <w:rPr>
                <w:rFonts w:cs="Open Sans"/>
                <w:sz w:val="18"/>
                <w:szCs w:val="18"/>
              </w:rPr>
              <w:t xml:space="preserve"> initiatives’ successes and impact</w:t>
            </w:r>
            <w:r>
              <w:rPr>
                <w:rFonts w:cs="Open Sans"/>
                <w:sz w:val="18"/>
                <w:szCs w:val="18"/>
              </w:rPr>
              <w:t>.</w:t>
            </w:r>
          </w:p>
        </w:tc>
        <w:tc>
          <w:tcPr>
            <w:tcW w:w="3747" w:type="dxa"/>
            <w:vAlign w:val="center"/>
          </w:tcPr>
          <w:p w14:paraId="1B36D766" w14:textId="77777777" w:rsidR="005B35CE" w:rsidRPr="00C87E5D" w:rsidRDefault="005B35CE" w:rsidP="00C87E5D">
            <w:pPr>
              <w:pStyle w:val="ListParagraph"/>
              <w:numPr>
                <w:ilvl w:val="0"/>
                <w:numId w:val="39"/>
              </w:numPr>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C87E5D">
              <w:rPr>
                <w:rFonts w:cs="Open Sans"/>
                <w:sz w:val="18"/>
                <w:szCs w:val="18"/>
              </w:rPr>
              <w:t>African Storybook</w:t>
            </w:r>
          </w:p>
          <w:p w14:paraId="21F21C2E" w14:textId="77777777" w:rsidR="005B35CE" w:rsidRPr="00C87E5D" w:rsidRDefault="005B35CE" w:rsidP="00C87E5D">
            <w:pPr>
              <w:pStyle w:val="ListParagraph"/>
              <w:numPr>
                <w:ilvl w:val="0"/>
                <w:numId w:val="39"/>
              </w:numPr>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proofErr w:type="spellStart"/>
            <w:r w:rsidRPr="00C87E5D">
              <w:rPr>
                <w:rFonts w:cs="Open Sans"/>
                <w:sz w:val="18"/>
                <w:szCs w:val="18"/>
              </w:rPr>
              <w:t>LiDA</w:t>
            </w:r>
            <w:proofErr w:type="spellEnd"/>
          </w:p>
          <w:p w14:paraId="602FC60F" w14:textId="77777777" w:rsidR="005B35CE" w:rsidRPr="00C87E5D" w:rsidRDefault="005B35CE" w:rsidP="00C87E5D">
            <w:pPr>
              <w:pStyle w:val="ListParagraph"/>
              <w:numPr>
                <w:ilvl w:val="0"/>
                <w:numId w:val="39"/>
              </w:numPr>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C87E5D">
              <w:rPr>
                <w:rFonts w:cs="Open Sans"/>
                <w:sz w:val="18"/>
                <w:szCs w:val="18"/>
              </w:rPr>
              <w:t>OER@AVU</w:t>
            </w:r>
          </w:p>
          <w:p w14:paraId="65DF2593" w14:textId="23CE13E1" w:rsidR="005B35CE" w:rsidRPr="00C87E5D" w:rsidRDefault="005B35CE" w:rsidP="00C87E5D">
            <w:pPr>
              <w:pStyle w:val="ListParagraph"/>
              <w:numPr>
                <w:ilvl w:val="0"/>
                <w:numId w:val="39"/>
              </w:numPr>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C87E5D">
              <w:rPr>
                <w:rFonts w:cs="Open Sans"/>
                <w:sz w:val="18"/>
                <w:szCs w:val="18"/>
              </w:rPr>
              <w:t>TESS-India</w:t>
            </w:r>
          </w:p>
        </w:tc>
      </w:tr>
      <w:tr w:rsidR="005B35CE" w14:paraId="644EF1B1" w14:textId="77777777" w:rsidTr="00AE3BC9">
        <w:trPr>
          <w:trHeight w:val="2879"/>
        </w:trPr>
        <w:tc>
          <w:tcPr>
            <w:cnfStyle w:val="001000000000" w:firstRow="0" w:lastRow="0" w:firstColumn="1" w:lastColumn="0" w:oddVBand="0" w:evenVBand="0" w:oddHBand="0" w:evenHBand="0" w:firstRowFirstColumn="0" w:firstRowLastColumn="0" w:lastRowFirstColumn="0" w:lastRowLastColumn="0"/>
            <w:tcW w:w="3681" w:type="dxa"/>
            <w:vMerge w:val="restart"/>
            <w:vAlign w:val="center"/>
          </w:tcPr>
          <w:p w14:paraId="7DDD15F4" w14:textId="0B28B7BC" w:rsidR="005B35CE" w:rsidRPr="009450FB" w:rsidRDefault="005B35CE" w:rsidP="00AE3BC9">
            <w:pPr>
              <w:jc w:val="left"/>
              <w:rPr>
                <w:rFonts w:cs="Open Sans"/>
                <w:b w:val="0"/>
                <w:bCs w:val="0"/>
                <w:sz w:val="18"/>
                <w:szCs w:val="18"/>
              </w:rPr>
            </w:pPr>
            <w:r w:rsidRPr="009450FB">
              <w:rPr>
                <w:rFonts w:cs="Open Sans"/>
                <w:b w:val="0"/>
                <w:bCs w:val="0"/>
                <w:sz w:val="18"/>
                <w:szCs w:val="18"/>
              </w:rPr>
              <w:t xml:space="preserve">Initiatives </w:t>
            </w:r>
            <w:r>
              <w:rPr>
                <w:rFonts w:cs="Open Sans"/>
                <w:b w:val="0"/>
                <w:bCs w:val="0"/>
                <w:sz w:val="18"/>
                <w:szCs w:val="18"/>
              </w:rPr>
              <w:t>have</w:t>
            </w:r>
            <w:r w:rsidRPr="009450FB">
              <w:rPr>
                <w:rFonts w:cs="Open Sans"/>
                <w:b w:val="0"/>
                <w:bCs w:val="0"/>
                <w:sz w:val="18"/>
                <w:szCs w:val="18"/>
              </w:rPr>
              <w:t xml:space="preserve"> </w:t>
            </w:r>
            <w:r w:rsidRPr="00AB5225">
              <w:rPr>
                <w:rFonts w:cs="Open Sans"/>
                <w:sz w:val="18"/>
                <w:szCs w:val="18"/>
              </w:rPr>
              <w:t>promoted or assisted in CPD and skills development</w:t>
            </w:r>
            <w:r w:rsidRPr="009450FB">
              <w:rPr>
                <w:rFonts w:cs="Open Sans"/>
                <w:b w:val="0"/>
                <w:bCs w:val="0"/>
                <w:sz w:val="18"/>
                <w:szCs w:val="18"/>
              </w:rPr>
              <w:t>. This included providing research on CPD and areas for improvement</w:t>
            </w:r>
            <w:r>
              <w:rPr>
                <w:rFonts w:cs="Open Sans"/>
                <w:b w:val="0"/>
                <w:bCs w:val="0"/>
                <w:sz w:val="18"/>
                <w:szCs w:val="18"/>
              </w:rPr>
              <w:t>. It also included delivery of</w:t>
            </w:r>
            <w:r w:rsidRPr="009450FB">
              <w:rPr>
                <w:rFonts w:cs="Open Sans"/>
                <w:b w:val="0"/>
                <w:bCs w:val="0"/>
                <w:sz w:val="18"/>
                <w:szCs w:val="18"/>
              </w:rPr>
              <w:t xml:space="preserve"> skills development interventions.</w:t>
            </w:r>
          </w:p>
        </w:tc>
        <w:tc>
          <w:tcPr>
            <w:tcW w:w="6520" w:type="dxa"/>
            <w:vAlign w:val="center"/>
          </w:tcPr>
          <w:p w14:paraId="25A02EC6" w14:textId="3AF61A52" w:rsidR="005B35CE" w:rsidRPr="009450FB" w:rsidRDefault="005B35CE" w:rsidP="00AE3BC9">
            <w:pPr>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9450FB">
              <w:rPr>
                <w:rFonts w:cs="Open Sans"/>
                <w:sz w:val="18"/>
                <w:szCs w:val="18"/>
              </w:rPr>
              <w:t>Conducting research about CPD and framework development to promote CPD related to OER. Such research confirmed that CPD for academics is key to developing OER practices in African higher education, and basic understanding of teaching and learning practices is critical to building effective OER practices; that research itself attracts much more attention in CPD than teaching and learning; and that other types of CPD can effectively complement traditional, more expensive forms of CPD.</w:t>
            </w:r>
            <w:r w:rsidRPr="009450FB">
              <w:rPr>
                <w:rFonts w:cs="Open Sans"/>
                <w:sz w:val="18"/>
                <w:szCs w:val="18"/>
                <w:vertAlign w:val="superscript"/>
              </w:rPr>
              <w:endnoteReference w:id="10"/>
            </w:r>
            <w:r w:rsidRPr="009450FB">
              <w:rPr>
                <w:rFonts w:cs="Open Sans"/>
                <w:sz w:val="18"/>
                <w:szCs w:val="18"/>
              </w:rPr>
              <w:t xml:space="preserve"> It also showed that instructors who possessed ICT literacy skills were more likely to repurpose, create, and share OER, and that participation in these ‘open practices’ enhanced their overall interest and skills in course design and in localization of course materials for their unique instructional contexts.</w:t>
            </w:r>
            <w:r w:rsidRPr="009450FB">
              <w:rPr>
                <w:rFonts w:cs="Open Sans"/>
                <w:sz w:val="18"/>
                <w:szCs w:val="18"/>
                <w:vertAlign w:val="superscript"/>
              </w:rPr>
              <w:endnoteReference w:id="11"/>
            </w:r>
          </w:p>
        </w:tc>
        <w:tc>
          <w:tcPr>
            <w:tcW w:w="3747" w:type="dxa"/>
            <w:vAlign w:val="center"/>
          </w:tcPr>
          <w:p w14:paraId="4CC91F9E" w14:textId="4E5F9FDA" w:rsidR="005B35CE" w:rsidRPr="00C87E5D" w:rsidRDefault="004126CD" w:rsidP="00C87E5D">
            <w:pPr>
              <w:pStyle w:val="ListParagraph"/>
              <w:numPr>
                <w:ilvl w:val="0"/>
                <w:numId w:val="39"/>
              </w:numPr>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C87E5D">
              <w:rPr>
                <w:rFonts w:cs="Open Sans"/>
                <w:sz w:val="18"/>
                <w:szCs w:val="18"/>
              </w:rPr>
              <w:t>Harnessing OER Practices to Drive Pedagogical Improvement</w:t>
            </w:r>
          </w:p>
          <w:p w14:paraId="0D2F2299" w14:textId="5ACEDCD2" w:rsidR="005B35CE" w:rsidRPr="00C87E5D" w:rsidRDefault="005B35CE" w:rsidP="00C87E5D">
            <w:pPr>
              <w:pStyle w:val="ListParagraph"/>
              <w:numPr>
                <w:ilvl w:val="0"/>
                <w:numId w:val="39"/>
              </w:numPr>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C87E5D">
              <w:rPr>
                <w:rFonts w:cs="Open Sans"/>
                <w:sz w:val="18"/>
                <w:szCs w:val="18"/>
              </w:rPr>
              <w:t>OER@AVU</w:t>
            </w:r>
          </w:p>
        </w:tc>
      </w:tr>
      <w:tr w:rsidR="005B35CE" w14:paraId="60A925D1" w14:textId="77777777" w:rsidTr="00AE3BC9">
        <w:trPr>
          <w:trHeight w:val="1156"/>
        </w:trPr>
        <w:tc>
          <w:tcPr>
            <w:cnfStyle w:val="001000000000" w:firstRow="0" w:lastRow="0" w:firstColumn="1" w:lastColumn="0" w:oddVBand="0" w:evenVBand="0" w:oddHBand="0" w:evenHBand="0" w:firstRowFirstColumn="0" w:firstRowLastColumn="0" w:lastRowFirstColumn="0" w:lastRowLastColumn="0"/>
            <w:tcW w:w="3681" w:type="dxa"/>
            <w:vMerge/>
            <w:vAlign w:val="center"/>
          </w:tcPr>
          <w:p w14:paraId="439AF049" w14:textId="77777777" w:rsidR="005B35CE" w:rsidRPr="009450FB" w:rsidRDefault="005B35CE" w:rsidP="00AE3BC9">
            <w:pPr>
              <w:jc w:val="left"/>
              <w:rPr>
                <w:rFonts w:cs="Open Sans"/>
                <w:b w:val="0"/>
                <w:bCs w:val="0"/>
                <w:sz w:val="18"/>
                <w:szCs w:val="18"/>
              </w:rPr>
            </w:pPr>
          </w:p>
        </w:tc>
        <w:tc>
          <w:tcPr>
            <w:tcW w:w="6520" w:type="dxa"/>
            <w:vAlign w:val="center"/>
          </w:tcPr>
          <w:p w14:paraId="2A010A52" w14:textId="2001E210" w:rsidR="005B35CE" w:rsidRPr="009450FB" w:rsidRDefault="005B35CE" w:rsidP="00AE3BC9">
            <w:pPr>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9450FB">
              <w:rPr>
                <w:rFonts w:cs="Open Sans"/>
                <w:sz w:val="18"/>
                <w:szCs w:val="18"/>
              </w:rPr>
              <w:t>Initiatives undertook skills development and training provision at scale, showing evidence of integrating resources into teaching schedules and shifts in teacher professional development amongst policymakers and teacher educators</w:t>
            </w:r>
            <w:r>
              <w:rPr>
                <w:rFonts w:cs="Open Sans"/>
                <w:sz w:val="18"/>
                <w:szCs w:val="18"/>
              </w:rPr>
              <w:t>.</w:t>
            </w:r>
          </w:p>
        </w:tc>
        <w:tc>
          <w:tcPr>
            <w:tcW w:w="3747" w:type="dxa"/>
            <w:vAlign w:val="center"/>
          </w:tcPr>
          <w:p w14:paraId="4CFA37C2" w14:textId="77777777" w:rsidR="005B35CE" w:rsidRPr="00C87E5D" w:rsidRDefault="005B35CE" w:rsidP="00C87E5D">
            <w:pPr>
              <w:pStyle w:val="ListParagraph"/>
              <w:numPr>
                <w:ilvl w:val="0"/>
                <w:numId w:val="39"/>
              </w:numPr>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C87E5D">
              <w:rPr>
                <w:rFonts w:cs="Open Sans"/>
                <w:sz w:val="18"/>
                <w:szCs w:val="18"/>
              </w:rPr>
              <w:t>TAACCCT</w:t>
            </w:r>
          </w:p>
          <w:p w14:paraId="04F5B18D" w14:textId="3639F4A7" w:rsidR="005B35CE" w:rsidRPr="00C87E5D" w:rsidRDefault="005B35CE" w:rsidP="00C87E5D">
            <w:pPr>
              <w:pStyle w:val="ListParagraph"/>
              <w:numPr>
                <w:ilvl w:val="0"/>
                <w:numId w:val="39"/>
              </w:numPr>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C87E5D">
              <w:rPr>
                <w:rFonts w:cs="Open Sans"/>
                <w:sz w:val="18"/>
                <w:szCs w:val="18"/>
              </w:rPr>
              <w:t>TESS-India</w:t>
            </w:r>
          </w:p>
        </w:tc>
      </w:tr>
      <w:tr w:rsidR="005B35CE" w14:paraId="0DA65FA9" w14:textId="77777777" w:rsidTr="00AE3BC9">
        <w:trPr>
          <w:trHeight w:val="2857"/>
        </w:trPr>
        <w:tc>
          <w:tcPr>
            <w:cnfStyle w:val="001000000000" w:firstRow="0" w:lastRow="0" w:firstColumn="1" w:lastColumn="0" w:oddVBand="0" w:evenVBand="0" w:oddHBand="0" w:evenHBand="0" w:firstRowFirstColumn="0" w:firstRowLastColumn="0" w:lastRowFirstColumn="0" w:lastRowLastColumn="0"/>
            <w:tcW w:w="3681" w:type="dxa"/>
            <w:vMerge w:val="restart"/>
            <w:vAlign w:val="center"/>
          </w:tcPr>
          <w:p w14:paraId="6D293CF1" w14:textId="2BDE723A" w:rsidR="005B35CE" w:rsidRPr="009450FB" w:rsidRDefault="005B35CE" w:rsidP="00AE3BC9">
            <w:pPr>
              <w:jc w:val="left"/>
              <w:rPr>
                <w:rFonts w:cs="Open Sans"/>
                <w:b w:val="0"/>
                <w:bCs w:val="0"/>
                <w:sz w:val="18"/>
                <w:szCs w:val="18"/>
              </w:rPr>
            </w:pPr>
            <w:r w:rsidRPr="009450FB">
              <w:rPr>
                <w:rFonts w:cs="Open Sans"/>
                <w:b w:val="0"/>
                <w:bCs w:val="0"/>
                <w:sz w:val="18"/>
                <w:szCs w:val="18"/>
              </w:rPr>
              <w:lastRenderedPageBreak/>
              <w:t>Initiatives used different approaches to measure</w:t>
            </w:r>
            <w:r w:rsidRPr="009450FB">
              <w:rPr>
                <w:rFonts w:cs="Open Sans"/>
                <w:b w:val="0"/>
                <w:bCs w:val="0"/>
                <w:sz w:val="18"/>
                <w:szCs w:val="18"/>
                <w:vertAlign w:val="superscript"/>
              </w:rPr>
              <w:endnoteReference w:id="12"/>
            </w:r>
            <w:r w:rsidRPr="009450FB">
              <w:rPr>
                <w:rFonts w:cs="Open Sans"/>
                <w:b w:val="0"/>
                <w:bCs w:val="0"/>
                <w:sz w:val="18"/>
                <w:szCs w:val="18"/>
              </w:rPr>
              <w:t xml:space="preserve"> and improve learner outcomes. There was evidence of </w:t>
            </w:r>
            <w:r w:rsidRPr="00AB5225">
              <w:rPr>
                <w:rFonts w:cs="Open Sans"/>
                <w:sz w:val="18"/>
                <w:szCs w:val="18"/>
              </w:rPr>
              <w:t>improved learner outcomes resulting from access to OER</w:t>
            </w:r>
            <w:r w:rsidRPr="009450FB">
              <w:rPr>
                <w:rFonts w:cs="Open Sans"/>
                <w:b w:val="0"/>
                <w:bCs w:val="0"/>
                <w:sz w:val="18"/>
                <w:szCs w:val="18"/>
              </w:rPr>
              <w:t>, but the case studies also highlight</w:t>
            </w:r>
            <w:r>
              <w:rPr>
                <w:rFonts w:cs="Open Sans"/>
                <w:b w:val="0"/>
                <w:bCs w:val="0"/>
                <w:sz w:val="18"/>
                <w:szCs w:val="18"/>
              </w:rPr>
              <w:t>ed</w:t>
            </w:r>
            <w:r w:rsidRPr="009450FB">
              <w:rPr>
                <w:rFonts w:cs="Open Sans"/>
                <w:b w:val="0"/>
                <w:bCs w:val="0"/>
                <w:sz w:val="18"/>
                <w:szCs w:val="18"/>
              </w:rPr>
              <w:t xml:space="preserve"> a need to study the impact of OER on learner outcomes more comprehensively, particularly regarding their influence on different demographic groups of students. The research was also focused on the global north, highlighting that comparative research on the impact of similar programmes on learner outcomes for those in the global south might yield beneficial insights.</w:t>
            </w:r>
          </w:p>
        </w:tc>
        <w:tc>
          <w:tcPr>
            <w:tcW w:w="6520" w:type="dxa"/>
            <w:vAlign w:val="center"/>
          </w:tcPr>
          <w:p w14:paraId="6213EB8D" w14:textId="7BE1CB29" w:rsidR="005B35CE" w:rsidRPr="009450FB" w:rsidRDefault="005B35CE" w:rsidP="00AE3BC9">
            <w:pPr>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Pr>
                <w:rFonts w:cs="Open Sans"/>
                <w:sz w:val="18"/>
                <w:szCs w:val="18"/>
              </w:rPr>
              <w:t>I</w:t>
            </w:r>
            <w:r w:rsidRPr="009450FB">
              <w:rPr>
                <w:rFonts w:cs="Open Sans"/>
                <w:sz w:val="18"/>
                <w:szCs w:val="18"/>
              </w:rPr>
              <w:t>ncreased retention and pass rates, increased graduation rates, and an increased rate of employment amongst students following completion of coursework</w:t>
            </w:r>
            <w:r>
              <w:rPr>
                <w:rFonts w:cs="Open Sans"/>
                <w:sz w:val="18"/>
                <w:szCs w:val="18"/>
              </w:rPr>
              <w:t>.</w:t>
            </w:r>
          </w:p>
        </w:tc>
        <w:tc>
          <w:tcPr>
            <w:tcW w:w="3747" w:type="dxa"/>
            <w:vAlign w:val="center"/>
          </w:tcPr>
          <w:p w14:paraId="2FD84A9C" w14:textId="05FF0171" w:rsidR="005B35CE" w:rsidRPr="00C87E5D" w:rsidRDefault="000175E2" w:rsidP="00C87E5D">
            <w:pPr>
              <w:pStyle w:val="ListParagraph"/>
              <w:numPr>
                <w:ilvl w:val="0"/>
                <w:numId w:val="39"/>
              </w:numPr>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Pr>
                <w:rFonts w:cs="Open Sans"/>
                <w:sz w:val="18"/>
                <w:szCs w:val="18"/>
              </w:rPr>
              <w:t xml:space="preserve">OER </w:t>
            </w:r>
            <w:r w:rsidR="005B35CE" w:rsidRPr="00C87E5D">
              <w:rPr>
                <w:rFonts w:cs="Open Sans"/>
                <w:sz w:val="18"/>
                <w:szCs w:val="18"/>
              </w:rPr>
              <w:t>Degrees</w:t>
            </w:r>
          </w:p>
          <w:p w14:paraId="31405FC2" w14:textId="17B2FC72" w:rsidR="005B35CE" w:rsidRPr="00C87E5D" w:rsidRDefault="005B35CE" w:rsidP="00C87E5D">
            <w:pPr>
              <w:pStyle w:val="ListParagraph"/>
              <w:numPr>
                <w:ilvl w:val="0"/>
                <w:numId w:val="39"/>
              </w:numPr>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C87E5D">
              <w:rPr>
                <w:rFonts w:cs="Open Sans"/>
                <w:sz w:val="18"/>
                <w:szCs w:val="18"/>
              </w:rPr>
              <w:t>TAACCCT</w:t>
            </w:r>
          </w:p>
        </w:tc>
      </w:tr>
      <w:tr w:rsidR="005B35CE" w14:paraId="0B34D4C7" w14:textId="77777777" w:rsidTr="00AE3BC9">
        <w:trPr>
          <w:trHeight w:val="1084"/>
        </w:trPr>
        <w:tc>
          <w:tcPr>
            <w:cnfStyle w:val="001000000000" w:firstRow="0" w:lastRow="0" w:firstColumn="1" w:lastColumn="0" w:oddVBand="0" w:evenVBand="0" w:oddHBand="0" w:evenHBand="0" w:firstRowFirstColumn="0" w:firstRowLastColumn="0" w:lastRowFirstColumn="0" w:lastRowLastColumn="0"/>
            <w:tcW w:w="3681" w:type="dxa"/>
            <w:vMerge/>
            <w:vAlign w:val="center"/>
          </w:tcPr>
          <w:p w14:paraId="7D4EF2B4" w14:textId="77777777" w:rsidR="005B35CE" w:rsidRPr="009450FB" w:rsidRDefault="005B35CE" w:rsidP="00AE3BC9">
            <w:pPr>
              <w:jc w:val="left"/>
              <w:rPr>
                <w:rFonts w:cs="Open Sans"/>
                <w:b w:val="0"/>
                <w:bCs w:val="0"/>
                <w:sz w:val="18"/>
                <w:szCs w:val="18"/>
              </w:rPr>
            </w:pPr>
          </w:p>
        </w:tc>
        <w:tc>
          <w:tcPr>
            <w:tcW w:w="6520" w:type="dxa"/>
            <w:vAlign w:val="center"/>
          </w:tcPr>
          <w:p w14:paraId="58C1DFB2" w14:textId="0B89B516" w:rsidR="005B35CE" w:rsidRPr="009450FB" w:rsidRDefault="005B35CE" w:rsidP="00AE3BC9">
            <w:pPr>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9450FB">
              <w:rPr>
                <w:rFonts w:cs="Open Sans"/>
                <w:sz w:val="18"/>
                <w:szCs w:val="18"/>
              </w:rPr>
              <w:t>Students taking OER courses accumulated significantly more course credits than those who had not taken any such courses. However, there is a need to look more deeply into the conditions and practices associated with the level of favourability of outcomes for OER degree implementations.</w:t>
            </w:r>
          </w:p>
        </w:tc>
        <w:tc>
          <w:tcPr>
            <w:tcW w:w="3747" w:type="dxa"/>
            <w:vAlign w:val="center"/>
          </w:tcPr>
          <w:p w14:paraId="20AF96B1" w14:textId="6F25ADD2" w:rsidR="005B35CE" w:rsidRPr="00C87E5D" w:rsidRDefault="000175E2" w:rsidP="00C87E5D">
            <w:pPr>
              <w:pStyle w:val="ListParagraph"/>
              <w:numPr>
                <w:ilvl w:val="0"/>
                <w:numId w:val="39"/>
              </w:numPr>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Pr>
                <w:rFonts w:cs="Open Sans"/>
                <w:sz w:val="18"/>
                <w:szCs w:val="18"/>
              </w:rPr>
              <w:t xml:space="preserve">OER </w:t>
            </w:r>
            <w:r w:rsidR="005B35CE" w:rsidRPr="00C87E5D">
              <w:rPr>
                <w:rFonts w:cs="Open Sans"/>
                <w:sz w:val="18"/>
                <w:szCs w:val="18"/>
              </w:rPr>
              <w:t>Degrees</w:t>
            </w:r>
          </w:p>
        </w:tc>
      </w:tr>
      <w:tr w:rsidR="005B35CE" w14:paraId="1E6AB40B" w14:textId="77777777" w:rsidTr="00A35B54">
        <w:trPr>
          <w:trHeight w:val="3849"/>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6C627FD5" w14:textId="77777777" w:rsidR="005B35CE" w:rsidRPr="0088790A" w:rsidRDefault="005B35CE" w:rsidP="00E53402">
            <w:pPr>
              <w:jc w:val="left"/>
              <w:rPr>
                <w:rFonts w:cs="Open Sans"/>
                <w:sz w:val="18"/>
                <w:szCs w:val="18"/>
              </w:rPr>
            </w:pPr>
            <w:r w:rsidRPr="0088790A">
              <w:rPr>
                <w:rFonts w:cs="Open Sans"/>
                <w:b w:val="0"/>
                <w:bCs w:val="0"/>
                <w:sz w:val="18"/>
                <w:szCs w:val="18"/>
              </w:rPr>
              <w:t>There was evidence of initiatives using OER to</w:t>
            </w:r>
            <w:r w:rsidRPr="0088790A">
              <w:rPr>
                <w:rFonts w:cs="Open Sans"/>
                <w:sz w:val="18"/>
                <w:szCs w:val="18"/>
              </w:rPr>
              <w:t xml:space="preserve"> reduce the costs of materials development and education delivery.</w:t>
            </w:r>
          </w:p>
          <w:p w14:paraId="19CEF15D" w14:textId="77777777" w:rsidR="005B35CE" w:rsidRPr="0088790A" w:rsidRDefault="005B35CE" w:rsidP="00E53402">
            <w:pPr>
              <w:jc w:val="left"/>
              <w:rPr>
                <w:rFonts w:cs="Open Sans"/>
                <w:sz w:val="18"/>
                <w:szCs w:val="18"/>
              </w:rPr>
            </w:pPr>
          </w:p>
          <w:p w14:paraId="22387F32" w14:textId="330E2E50" w:rsidR="005B35CE" w:rsidRPr="00552085" w:rsidRDefault="005B35CE" w:rsidP="00E53402">
            <w:pPr>
              <w:jc w:val="left"/>
              <w:rPr>
                <w:rFonts w:cs="Open Sans"/>
                <w:b w:val="0"/>
                <w:bCs w:val="0"/>
                <w:sz w:val="18"/>
                <w:szCs w:val="18"/>
              </w:rPr>
            </w:pPr>
            <w:r w:rsidRPr="00552085">
              <w:rPr>
                <w:rFonts w:cs="Open Sans"/>
                <w:b w:val="0"/>
                <w:bCs w:val="0"/>
                <w:sz w:val="18"/>
                <w:szCs w:val="18"/>
              </w:rPr>
              <w:t>The cost savings that such initiatives have enabled because students no longer need to carry the financial burden of paying for expensive educational materials can make quality education more accessible for people from varying socioeconomic backgrounds. Such savings also mean that institutions can use the money that they save to focus investment on course design and delivery.</w:t>
            </w:r>
          </w:p>
        </w:tc>
        <w:tc>
          <w:tcPr>
            <w:tcW w:w="6520" w:type="dxa"/>
            <w:vAlign w:val="center"/>
          </w:tcPr>
          <w:p w14:paraId="37184A02" w14:textId="0A630B82" w:rsidR="005B35CE" w:rsidRPr="00552085" w:rsidRDefault="005B35CE" w:rsidP="00E53402">
            <w:pPr>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552085">
              <w:rPr>
                <w:rFonts w:cs="Open Sans"/>
                <w:sz w:val="18"/>
                <w:szCs w:val="18"/>
              </w:rPr>
              <w:t xml:space="preserve">Cost savings by institutions and students. For students, this included overcoming the need to purchase instructional materials </w:t>
            </w:r>
            <w:r>
              <w:rPr>
                <w:rFonts w:cs="Open Sans"/>
                <w:sz w:val="18"/>
                <w:szCs w:val="18"/>
              </w:rPr>
              <w:t>like</w:t>
            </w:r>
            <w:r w:rsidRPr="00552085">
              <w:rPr>
                <w:rFonts w:cs="Open Sans"/>
                <w:sz w:val="18"/>
                <w:szCs w:val="18"/>
              </w:rPr>
              <w:t xml:space="preserve"> textbooks.</w:t>
            </w:r>
          </w:p>
          <w:p w14:paraId="39DC0BCA" w14:textId="77777777" w:rsidR="005B35CE" w:rsidRPr="00552085" w:rsidRDefault="005B35CE" w:rsidP="00E53402">
            <w:pPr>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p>
          <w:p w14:paraId="6C7455D6" w14:textId="14BD1DD2" w:rsidR="005B35CE" w:rsidRPr="00552085" w:rsidRDefault="005B35CE" w:rsidP="00E53402">
            <w:pPr>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552085">
              <w:rPr>
                <w:rFonts w:cs="Open Sans"/>
                <w:sz w:val="18"/>
                <w:szCs w:val="18"/>
              </w:rPr>
              <w:t>Institutions did not incur any significant course design and development costs, instead making use of existing human resources to review and adapt materials. The use of OER meant that institution</w:t>
            </w:r>
            <w:r>
              <w:rPr>
                <w:rFonts w:cs="Open Sans"/>
                <w:sz w:val="18"/>
                <w:szCs w:val="18"/>
              </w:rPr>
              <w:t>s</w:t>
            </w:r>
            <w:r w:rsidRPr="00552085">
              <w:rPr>
                <w:rFonts w:cs="Open Sans"/>
                <w:sz w:val="18"/>
                <w:szCs w:val="18"/>
              </w:rPr>
              <w:t xml:space="preserve"> did not need to purchase expensive textbooks or proprietary software licences to access the content</w:t>
            </w:r>
          </w:p>
        </w:tc>
        <w:tc>
          <w:tcPr>
            <w:tcW w:w="3747" w:type="dxa"/>
            <w:vAlign w:val="center"/>
          </w:tcPr>
          <w:p w14:paraId="50E57FC5" w14:textId="77777777" w:rsidR="005B35CE" w:rsidRPr="00C87E5D" w:rsidRDefault="005B35CE" w:rsidP="00C87E5D">
            <w:pPr>
              <w:pStyle w:val="ListParagraph"/>
              <w:numPr>
                <w:ilvl w:val="0"/>
                <w:numId w:val="39"/>
              </w:numPr>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proofErr w:type="spellStart"/>
            <w:r w:rsidRPr="00C87E5D">
              <w:rPr>
                <w:rFonts w:cs="Open Sans"/>
                <w:sz w:val="18"/>
                <w:szCs w:val="18"/>
              </w:rPr>
              <w:t>LiDA</w:t>
            </w:r>
            <w:proofErr w:type="spellEnd"/>
          </w:p>
          <w:p w14:paraId="460DE72E" w14:textId="22D97A62" w:rsidR="005B35CE" w:rsidRPr="00C87E5D" w:rsidRDefault="000175E2" w:rsidP="00C87E5D">
            <w:pPr>
              <w:pStyle w:val="ListParagraph"/>
              <w:numPr>
                <w:ilvl w:val="0"/>
                <w:numId w:val="39"/>
              </w:numPr>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Pr>
                <w:rFonts w:cs="Open Sans"/>
                <w:sz w:val="18"/>
                <w:szCs w:val="18"/>
              </w:rPr>
              <w:t xml:space="preserve">OER </w:t>
            </w:r>
            <w:r w:rsidR="005B35CE" w:rsidRPr="00C87E5D">
              <w:rPr>
                <w:rFonts w:cs="Open Sans"/>
                <w:sz w:val="18"/>
                <w:szCs w:val="18"/>
              </w:rPr>
              <w:t>Degrees</w:t>
            </w:r>
          </w:p>
        </w:tc>
      </w:tr>
    </w:tbl>
    <w:p w14:paraId="5DA0C38C" w14:textId="77777777" w:rsidR="005B35CE" w:rsidRDefault="005B35CE" w:rsidP="0052617E"/>
    <w:p w14:paraId="4826FB5B" w14:textId="103B20B9" w:rsidR="005B35CE" w:rsidRDefault="005B35CE" w:rsidP="00CC1899">
      <w:pPr>
        <w:pStyle w:val="Heading2"/>
      </w:pPr>
      <w:r>
        <w:lastRenderedPageBreak/>
        <w:t>Challenges</w:t>
      </w:r>
    </w:p>
    <w:p w14:paraId="41BCD449" w14:textId="58AF5B57" w:rsidR="005B35CE" w:rsidRDefault="005B35CE" w:rsidP="00942D62">
      <w:r w:rsidRPr="00942D62">
        <w:t>While there is significant evidence of the successes that these initiatives have had in the four areas described above, they have also faced challenges i</w:t>
      </w:r>
      <w:r w:rsidR="001A74C7">
        <w:t>n</w:t>
      </w:r>
      <w:r w:rsidRPr="00942D62">
        <w:t xml:space="preserve"> achieving their aims, including: ensuring OER adoption and awareness; various operational issues; difficulties with staff and other partners; and problems with developing the requisite skills.</w:t>
      </w:r>
    </w:p>
    <w:p w14:paraId="1C15EE36" w14:textId="77777777" w:rsidR="005B35CE" w:rsidRDefault="005B35CE" w:rsidP="00942D62"/>
    <w:p w14:paraId="47C60480" w14:textId="627FEAB5" w:rsidR="00F60318" w:rsidRPr="00942D62" w:rsidRDefault="00F60318" w:rsidP="00F60318">
      <w:pPr>
        <w:pStyle w:val="TableReference"/>
      </w:pPr>
      <w:r>
        <w:t>Case study challenges</w:t>
      </w:r>
    </w:p>
    <w:tbl>
      <w:tblPr>
        <w:tblStyle w:val="GridTable1Light-Accent1"/>
        <w:tblW w:w="0" w:type="auto"/>
        <w:tblLook w:val="04A0" w:firstRow="1" w:lastRow="0" w:firstColumn="1" w:lastColumn="0" w:noHBand="0" w:noVBand="1"/>
      </w:tblPr>
      <w:tblGrid>
        <w:gridCol w:w="3681"/>
        <w:gridCol w:w="6520"/>
        <w:gridCol w:w="3747"/>
      </w:tblGrid>
      <w:tr w:rsidR="005B35CE" w:rsidRPr="009450FB" w14:paraId="5EA123F6" w14:textId="77777777" w:rsidTr="00E5340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81" w:type="dxa"/>
            <w:shd w:val="clear" w:color="auto" w:fill="E6E8F3"/>
            <w:vAlign w:val="center"/>
          </w:tcPr>
          <w:p w14:paraId="37E1C1C8" w14:textId="71D8B4A6" w:rsidR="005B35CE" w:rsidRPr="009450FB" w:rsidRDefault="005B35CE" w:rsidP="00E53402">
            <w:pPr>
              <w:jc w:val="left"/>
              <w:rPr>
                <w:rFonts w:cs="Open Sans"/>
                <w:sz w:val="18"/>
                <w:szCs w:val="18"/>
              </w:rPr>
            </w:pPr>
            <w:r w:rsidRPr="009450FB">
              <w:rPr>
                <w:rFonts w:cs="Open Sans"/>
                <w:sz w:val="18"/>
                <w:szCs w:val="18"/>
              </w:rPr>
              <w:t>Themes</w:t>
            </w:r>
          </w:p>
        </w:tc>
        <w:tc>
          <w:tcPr>
            <w:tcW w:w="6520" w:type="dxa"/>
            <w:shd w:val="clear" w:color="auto" w:fill="E6E8F3"/>
            <w:vAlign w:val="center"/>
          </w:tcPr>
          <w:p w14:paraId="6AD3F2B7" w14:textId="21973406" w:rsidR="005B35CE" w:rsidRPr="009450FB" w:rsidRDefault="005B35CE" w:rsidP="00E53402">
            <w:pPr>
              <w:jc w:val="left"/>
              <w:cnfStyle w:val="100000000000" w:firstRow="1" w:lastRow="0" w:firstColumn="0" w:lastColumn="0" w:oddVBand="0" w:evenVBand="0" w:oddHBand="0" w:evenHBand="0" w:firstRowFirstColumn="0" w:firstRowLastColumn="0" w:lastRowFirstColumn="0" w:lastRowLastColumn="0"/>
              <w:rPr>
                <w:rFonts w:cs="Open Sans"/>
                <w:sz w:val="18"/>
                <w:szCs w:val="18"/>
              </w:rPr>
            </w:pPr>
            <w:r w:rsidRPr="009450FB">
              <w:rPr>
                <w:rFonts w:cs="Open Sans"/>
                <w:sz w:val="18"/>
                <w:szCs w:val="18"/>
              </w:rPr>
              <w:t>Findings</w:t>
            </w:r>
          </w:p>
        </w:tc>
        <w:tc>
          <w:tcPr>
            <w:tcW w:w="3747" w:type="dxa"/>
            <w:shd w:val="clear" w:color="auto" w:fill="E6E8F3"/>
            <w:vAlign w:val="center"/>
          </w:tcPr>
          <w:p w14:paraId="6013473F" w14:textId="40B39D6D" w:rsidR="005B35CE" w:rsidRPr="009450FB" w:rsidRDefault="005B35CE" w:rsidP="00E53402">
            <w:pPr>
              <w:jc w:val="left"/>
              <w:cnfStyle w:val="100000000000" w:firstRow="1" w:lastRow="0" w:firstColumn="0" w:lastColumn="0" w:oddVBand="0" w:evenVBand="0" w:oddHBand="0" w:evenHBand="0" w:firstRowFirstColumn="0" w:firstRowLastColumn="0" w:lastRowFirstColumn="0" w:lastRowLastColumn="0"/>
              <w:rPr>
                <w:rFonts w:cs="Open Sans"/>
                <w:sz w:val="18"/>
                <w:szCs w:val="18"/>
              </w:rPr>
            </w:pPr>
            <w:r w:rsidRPr="009450FB">
              <w:rPr>
                <w:rFonts w:cs="Open Sans"/>
                <w:sz w:val="18"/>
                <w:szCs w:val="18"/>
              </w:rPr>
              <w:t>Evidence in case studies</w:t>
            </w:r>
          </w:p>
        </w:tc>
      </w:tr>
      <w:tr w:rsidR="005B35CE" w:rsidRPr="009450FB" w14:paraId="2134B9A9" w14:textId="77777777" w:rsidTr="00853049">
        <w:trPr>
          <w:trHeight w:val="1156"/>
        </w:trPr>
        <w:tc>
          <w:tcPr>
            <w:cnfStyle w:val="001000000000" w:firstRow="0" w:lastRow="0" w:firstColumn="1" w:lastColumn="0" w:oddVBand="0" w:evenVBand="0" w:oddHBand="0" w:evenHBand="0" w:firstRowFirstColumn="0" w:firstRowLastColumn="0" w:lastRowFirstColumn="0" w:lastRowLastColumn="0"/>
            <w:tcW w:w="3681" w:type="dxa"/>
            <w:vMerge w:val="restart"/>
            <w:vAlign w:val="center"/>
          </w:tcPr>
          <w:p w14:paraId="66ED79AB" w14:textId="64369FE4" w:rsidR="005B35CE" w:rsidRPr="009450FB" w:rsidRDefault="005B35CE" w:rsidP="00E53402">
            <w:pPr>
              <w:jc w:val="left"/>
              <w:rPr>
                <w:rFonts w:cs="Open Sans"/>
                <w:b w:val="0"/>
                <w:bCs w:val="0"/>
                <w:sz w:val="18"/>
                <w:szCs w:val="18"/>
              </w:rPr>
            </w:pPr>
            <w:r w:rsidRPr="009450FB">
              <w:rPr>
                <w:rFonts w:cs="Open Sans"/>
                <w:b w:val="0"/>
                <w:bCs w:val="0"/>
                <w:sz w:val="18"/>
                <w:szCs w:val="18"/>
              </w:rPr>
              <w:t xml:space="preserve">The </w:t>
            </w:r>
            <w:r w:rsidRPr="005C55D1">
              <w:rPr>
                <w:rFonts w:cs="Open Sans"/>
                <w:sz w:val="18"/>
                <w:szCs w:val="18"/>
              </w:rPr>
              <w:t>availability of OER</w:t>
            </w:r>
            <w:r w:rsidRPr="009450FB">
              <w:rPr>
                <w:rFonts w:cs="Open Sans"/>
                <w:b w:val="0"/>
                <w:bCs w:val="0"/>
                <w:sz w:val="18"/>
                <w:szCs w:val="18"/>
              </w:rPr>
              <w:t xml:space="preserve"> was raised as a challenge, which was primarily related to low rates of adoption of OER-enabled online courses for reuse and remix at higher education institutions, as well as a lack of availability of OER in certain subject areas. </w:t>
            </w:r>
          </w:p>
        </w:tc>
        <w:tc>
          <w:tcPr>
            <w:tcW w:w="6520" w:type="dxa"/>
            <w:vAlign w:val="center"/>
          </w:tcPr>
          <w:p w14:paraId="3F618524" w14:textId="6D602A22" w:rsidR="005B35CE" w:rsidRPr="009450FB" w:rsidRDefault="005B35CE" w:rsidP="00E53402">
            <w:pPr>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9450FB">
              <w:rPr>
                <w:rFonts w:cs="Open Sans"/>
                <w:sz w:val="18"/>
                <w:szCs w:val="18"/>
              </w:rPr>
              <w:t>There were two key issues regarding OER adoption and awareness. First, the need to advocate for adoption and second, the need to align OER provision with demand. Th</w:t>
            </w:r>
            <w:r w:rsidR="00EA1EF5">
              <w:rPr>
                <w:rFonts w:cs="Open Sans"/>
                <w:sz w:val="18"/>
                <w:szCs w:val="18"/>
              </w:rPr>
              <w:t>is</w:t>
            </w:r>
            <w:r w:rsidRPr="009450FB">
              <w:rPr>
                <w:rFonts w:cs="Open Sans"/>
                <w:sz w:val="18"/>
                <w:szCs w:val="18"/>
              </w:rPr>
              <w:t xml:space="preserve"> suggest</w:t>
            </w:r>
            <w:r w:rsidR="00EA1EF5">
              <w:rPr>
                <w:rFonts w:cs="Open Sans"/>
                <w:sz w:val="18"/>
                <w:szCs w:val="18"/>
              </w:rPr>
              <w:t>s</w:t>
            </w:r>
            <w:r w:rsidRPr="009450FB">
              <w:rPr>
                <w:rFonts w:cs="Open Sans"/>
                <w:sz w:val="18"/>
                <w:szCs w:val="18"/>
              </w:rPr>
              <w:t xml:space="preserve"> a need for ongoing advocacy and support for open education in publicly funded institutions, as well as incentives to share materials as OER.</w:t>
            </w:r>
          </w:p>
        </w:tc>
        <w:tc>
          <w:tcPr>
            <w:tcW w:w="3747" w:type="dxa"/>
            <w:vAlign w:val="center"/>
          </w:tcPr>
          <w:p w14:paraId="1C0F9AA7" w14:textId="77777777" w:rsidR="005B35CE" w:rsidRPr="00C91979" w:rsidRDefault="005B35CE" w:rsidP="00C91979">
            <w:pPr>
              <w:pStyle w:val="ListParagraph"/>
              <w:numPr>
                <w:ilvl w:val="0"/>
                <w:numId w:val="40"/>
              </w:numPr>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proofErr w:type="spellStart"/>
            <w:r w:rsidRPr="00C91979">
              <w:rPr>
                <w:rFonts w:cs="Open Sans"/>
                <w:sz w:val="18"/>
                <w:szCs w:val="18"/>
              </w:rPr>
              <w:t>LiDA</w:t>
            </w:r>
            <w:proofErr w:type="spellEnd"/>
          </w:p>
          <w:p w14:paraId="1B3D7EC3" w14:textId="6CAEFB27" w:rsidR="005B35CE" w:rsidRPr="00C91979" w:rsidRDefault="000175E2" w:rsidP="00C91979">
            <w:pPr>
              <w:pStyle w:val="ListParagraph"/>
              <w:numPr>
                <w:ilvl w:val="0"/>
                <w:numId w:val="40"/>
              </w:numPr>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Pr>
                <w:rFonts w:cs="Open Sans"/>
                <w:sz w:val="18"/>
                <w:szCs w:val="18"/>
              </w:rPr>
              <w:t xml:space="preserve">OER </w:t>
            </w:r>
            <w:r w:rsidR="005B35CE" w:rsidRPr="00C91979">
              <w:rPr>
                <w:rFonts w:cs="Open Sans"/>
                <w:sz w:val="18"/>
                <w:szCs w:val="18"/>
              </w:rPr>
              <w:t>Degrees</w:t>
            </w:r>
          </w:p>
        </w:tc>
      </w:tr>
      <w:tr w:rsidR="005B35CE" w:rsidRPr="009450FB" w14:paraId="044DCBDD" w14:textId="77777777" w:rsidTr="00DC6C64">
        <w:trPr>
          <w:trHeight w:val="589"/>
        </w:trPr>
        <w:tc>
          <w:tcPr>
            <w:cnfStyle w:val="001000000000" w:firstRow="0" w:lastRow="0" w:firstColumn="1" w:lastColumn="0" w:oddVBand="0" w:evenVBand="0" w:oddHBand="0" w:evenHBand="0" w:firstRowFirstColumn="0" w:firstRowLastColumn="0" w:lastRowFirstColumn="0" w:lastRowLastColumn="0"/>
            <w:tcW w:w="3681" w:type="dxa"/>
            <w:vMerge/>
            <w:vAlign w:val="center"/>
          </w:tcPr>
          <w:p w14:paraId="7EC3526C" w14:textId="77777777" w:rsidR="005B35CE" w:rsidRPr="009450FB" w:rsidRDefault="005B35CE" w:rsidP="00E53402">
            <w:pPr>
              <w:jc w:val="left"/>
              <w:rPr>
                <w:rFonts w:cs="Open Sans"/>
                <w:b w:val="0"/>
                <w:bCs w:val="0"/>
                <w:sz w:val="18"/>
                <w:szCs w:val="18"/>
              </w:rPr>
            </w:pPr>
          </w:p>
        </w:tc>
        <w:tc>
          <w:tcPr>
            <w:tcW w:w="6520" w:type="dxa"/>
            <w:vAlign w:val="center"/>
          </w:tcPr>
          <w:p w14:paraId="263DE4C2" w14:textId="0C966F01" w:rsidR="005B35CE" w:rsidRPr="009450FB" w:rsidRDefault="005B35CE" w:rsidP="00E53402">
            <w:pPr>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9450FB">
              <w:rPr>
                <w:rFonts w:cs="Open Sans"/>
                <w:sz w:val="18"/>
                <w:szCs w:val="18"/>
              </w:rPr>
              <w:t>In some cases, there was limited knowledge about OER amongst the participants, highlighting a need for additional OER advocacy activities to present OER as a viable alternative to all rights reserved copyrighted materials</w:t>
            </w:r>
            <w:r w:rsidR="00566C67">
              <w:rPr>
                <w:rFonts w:cs="Open Sans"/>
                <w:sz w:val="18"/>
                <w:szCs w:val="18"/>
              </w:rPr>
              <w:t>.</w:t>
            </w:r>
          </w:p>
        </w:tc>
        <w:tc>
          <w:tcPr>
            <w:tcW w:w="3747" w:type="dxa"/>
            <w:vAlign w:val="center"/>
          </w:tcPr>
          <w:p w14:paraId="7AAB37B7" w14:textId="77777777" w:rsidR="005B35CE" w:rsidRPr="00C91979" w:rsidRDefault="005B35CE" w:rsidP="00C91979">
            <w:pPr>
              <w:pStyle w:val="ListParagraph"/>
              <w:numPr>
                <w:ilvl w:val="0"/>
                <w:numId w:val="40"/>
              </w:numPr>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C91979">
              <w:rPr>
                <w:rFonts w:cs="Open Sans"/>
                <w:sz w:val="18"/>
                <w:szCs w:val="18"/>
              </w:rPr>
              <w:t>TESS-India</w:t>
            </w:r>
          </w:p>
          <w:p w14:paraId="2F7DB321" w14:textId="23B4F9FC" w:rsidR="005B35CE" w:rsidRPr="00C91979" w:rsidRDefault="000175E2" w:rsidP="00C91979">
            <w:pPr>
              <w:pStyle w:val="ListParagraph"/>
              <w:numPr>
                <w:ilvl w:val="0"/>
                <w:numId w:val="40"/>
              </w:numPr>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Pr>
                <w:rFonts w:cs="Open Sans"/>
                <w:sz w:val="18"/>
                <w:szCs w:val="18"/>
              </w:rPr>
              <w:t xml:space="preserve">OER </w:t>
            </w:r>
            <w:r w:rsidR="005B35CE" w:rsidRPr="00C91979">
              <w:rPr>
                <w:rFonts w:cs="Open Sans"/>
                <w:sz w:val="18"/>
                <w:szCs w:val="18"/>
              </w:rPr>
              <w:t>Degrees</w:t>
            </w:r>
          </w:p>
        </w:tc>
      </w:tr>
      <w:tr w:rsidR="005B35CE" w:rsidRPr="009450FB" w14:paraId="2FC27C76" w14:textId="77777777" w:rsidTr="00DC6C64">
        <w:trPr>
          <w:trHeight w:val="1122"/>
        </w:trPr>
        <w:tc>
          <w:tcPr>
            <w:cnfStyle w:val="001000000000" w:firstRow="0" w:lastRow="0" w:firstColumn="1" w:lastColumn="0" w:oddVBand="0" w:evenVBand="0" w:oddHBand="0" w:evenHBand="0" w:firstRowFirstColumn="0" w:firstRowLastColumn="0" w:lastRowFirstColumn="0" w:lastRowLastColumn="0"/>
            <w:tcW w:w="3681" w:type="dxa"/>
            <w:vMerge w:val="restart"/>
            <w:vAlign w:val="center"/>
          </w:tcPr>
          <w:p w14:paraId="37928CB7" w14:textId="2CF9B9ED" w:rsidR="005B35CE" w:rsidRPr="009450FB" w:rsidRDefault="005B35CE" w:rsidP="00E53402">
            <w:pPr>
              <w:jc w:val="left"/>
              <w:rPr>
                <w:rFonts w:cs="Open Sans"/>
                <w:b w:val="0"/>
                <w:bCs w:val="0"/>
                <w:sz w:val="18"/>
                <w:szCs w:val="18"/>
              </w:rPr>
            </w:pPr>
            <w:r w:rsidRPr="009450FB">
              <w:rPr>
                <w:rFonts w:cs="Open Sans"/>
                <w:b w:val="0"/>
                <w:bCs w:val="0"/>
                <w:sz w:val="18"/>
                <w:szCs w:val="18"/>
              </w:rPr>
              <w:t xml:space="preserve">Initiatives experienced </w:t>
            </w:r>
            <w:r w:rsidRPr="005C55D1">
              <w:rPr>
                <w:rFonts w:cs="Open Sans"/>
                <w:sz w:val="18"/>
                <w:szCs w:val="18"/>
              </w:rPr>
              <w:t>operational issues</w:t>
            </w:r>
            <w:r w:rsidR="00566F7E">
              <w:rPr>
                <w:rFonts w:cs="Open Sans"/>
                <w:b w:val="0"/>
                <w:bCs w:val="0"/>
                <w:sz w:val="18"/>
                <w:szCs w:val="18"/>
              </w:rPr>
              <w:t xml:space="preserve"> which ranged from usability issues</w:t>
            </w:r>
            <w:r w:rsidR="00830A25">
              <w:rPr>
                <w:rFonts w:cs="Open Sans"/>
                <w:b w:val="0"/>
                <w:bCs w:val="0"/>
                <w:sz w:val="18"/>
                <w:szCs w:val="18"/>
              </w:rPr>
              <w:t xml:space="preserve"> on websites</w:t>
            </w:r>
            <w:r w:rsidR="00566F7E">
              <w:rPr>
                <w:rFonts w:cs="Open Sans"/>
                <w:b w:val="0"/>
                <w:bCs w:val="0"/>
                <w:sz w:val="18"/>
                <w:szCs w:val="18"/>
              </w:rPr>
              <w:t xml:space="preserve"> </w:t>
            </w:r>
            <w:r w:rsidR="00830A25">
              <w:rPr>
                <w:rFonts w:cs="Open Sans"/>
                <w:b w:val="0"/>
                <w:bCs w:val="0"/>
                <w:sz w:val="18"/>
                <w:szCs w:val="18"/>
              </w:rPr>
              <w:t>to funding.</w:t>
            </w:r>
          </w:p>
        </w:tc>
        <w:tc>
          <w:tcPr>
            <w:tcW w:w="6520" w:type="dxa"/>
            <w:vAlign w:val="center"/>
          </w:tcPr>
          <w:p w14:paraId="0C2D2180" w14:textId="362CEB63" w:rsidR="005B35CE" w:rsidRPr="009450FB" w:rsidRDefault="003712A0" w:rsidP="00E53402">
            <w:pPr>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Pr>
                <w:rFonts w:cs="Open Sans"/>
                <w:sz w:val="18"/>
                <w:szCs w:val="18"/>
              </w:rPr>
              <w:t>P</w:t>
            </w:r>
            <w:r w:rsidR="00831750">
              <w:rPr>
                <w:rFonts w:cs="Open Sans"/>
                <w:sz w:val="18"/>
                <w:szCs w:val="18"/>
              </w:rPr>
              <w:t>roblems</w:t>
            </w:r>
            <w:r w:rsidR="005B35CE" w:rsidRPr="009450FB">
              <w:rPr>
                <w:rFonts w:cs="Open Sans"/>
                <w:sz w:val="18"/>
                <w:szCs w:val="18"/>
              </w:rPr>
              <w:t xml:space="preserve"> with website user registrations and internet connectivity. To overcome this, the team would assist users in identifying and solving registration issues in the backend. The team also conducted internal discussions to simplify the registration process.</w:t>
            </w:r>
          </w:p>
        </w:tc>
        <w:tc>
          <w:tcPr>
            <w:tcW w:w="3747" w:type="dxa"/>
            <w:vAlign w:val="center"/>
          </w:tcPr>
          <w:p w14:paraId="3A6AD6E2" w14:textId="756D6D5F" w:rsidR="005B35CE" w:rsidRPr="00C91979" w:rsidRDefault="005B35CE" w:rsidP="00C91979">
            <w:pPr>
              <w:pStyle w:val="ListParagraph"/>
              <w:numPr>
                <w:ilvl w:val="0"/>
                <w:numId w:val="40"/>
              </w:numPr>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C91979">
              <w:rPr>
                <w:rFonts w:cs="Open Sans"/>
                <w:sz w:val="18"/>
                <w:szCs w:val="18"/>
              </w:rPr>
              <w:t>African Storybook</w:t>
            </w:r>
          </w:p>
        </w:tc>
      </w:tr>
      <w:tr w:rsidR="005B35CE" w:rsidRPr="009450FB" w14:paraId="6AD3C08D" w14:textId="77777777" w:rsidTr="00DC6C64">
        <w:trPr>
          <w:trHeight w:val="556"/>
        </w:trPr>
        <w:tc>
          <w:tcPr>
            <w:cnfStyle w:val="001000000000" w:firstRow="0" w:lastRow="0" w:firstColumn="1" w:lastColumn="0" w:oddVBand="0" w:evenVBand="0" w:oddHBand="0" w:evenHBand="0" w:firstRowFirstColumn="0" w:firstRowLastColumn="0" w:lastRowFirstColumn="0" w:lastRowLastColumn="0"/>
            <w:tcW w:w="3681" w:type="dxa"/>
            <w:vMerge/>
            <w:vAlign w:val="center"/>
          </w:tcPr>
          <w:p w14:paraId="532D84F8" w14:textId="77777777" w:rsidR="005B35CE" w:rsidRPr="009450FB" w:rsidRDefault="005B35CE" w:rsidP="00E53402">
            <w:pPr>
              <w:jc w:val="left"/>
              <w:rPr>
                <w:rFonts w:cs="Open Sans"/>
                <w:sz w:val="18"/>
                <w:szCs w:val="18"/>
              </w:rPr>
            </w:pPr>
          </w:p>
        </w:tc>
        <w:tc>
          <w:tcPr>
            <w:tcW w:w="6520" w:type="dxa"/>
            <w:vAlign w:val="center"/>
          </w:tcPr>
          <w:p w14:paraId="14531096" w14:textId="6492A451" w:rsidR="005B35CE" w:rsidRPr="009450FB" w:rsidRDefault="005B35CE" w:rsidP="00E53402">
            <w:pPr>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9450FB">
              <w:rPr>
                <w:rFonts w:cs="Open Sans"/>
                <w:sz w:val="18"/>
                <w:szCs w:val="18"/>
              </w:rPr>
              <w:t>Some commercial publishers have downloaded resources from  the</w:t>
            </w:r>
            <w:r w:rsidR="009A7AC1">
              <w:rPr>
                <w:rFonts w:cs="Open Sans"/>
                <w:sz w:val="18"/>
                <w:szCs w:val="18"/>
              </w:rPr>
              <w:t xml:space="preserve"> initiative’s</w:t>
            </w:r>
            <w:r w:rsidRPr="009450FB">
              <w:rPr>
                <w:rFonts w:cs="Open Sans"/>
                <w:sz w:val="18"/>
                <w:szCs w:val="18"/>
              </w:rPr>
              <w:t xml:space="preserve"> website and used them without appropriate attribution.</w:t>
            </w:r>
          </w:p>
        </w:tc>
        <w:tc>
          <w:tcPr>
            <w:tcW w:w="3747" w:type="dxa"/>
            <w:vAlign w:val="center"/>
          </w:tcPr>
          <w:p w14:paraId="51B012F2" w14:textId="4ED9F955" w:rsidR="005B35CE" w:rsidRPr="00C91979" w:rsidRDefault="005B35CE" w:rsidP="00C91979">
            <w:pPr>
              <w:pStyle w:val="ListParagraph"/>
              <w:numPr>
                <w:ilvl w:val="0"/>
                <w:numId w:val="40"/>
              </w:numPr>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C91979">
              <w:rPr>
                <w:rFonts w:cs="Open Sans"/>
                <w:sz w:val="18"/>
                <w:szCs w:val="18"/>
              </w:rPr>
              <w:t>African Storybook</w:t>
            </w:r>
          </w:p>
        </w:tc>
      </w:tr>
      <w:tr w:rsidR="005B35CE" w:rsidRPr="009450FB" w14:paraId="707BCB4A" w14:textId="77777777" w:rsidTr="00DC6C64">
        <w:trPr>
          <w:trHeight w:val="847"/>
        </w:trPr>
        <w:tc>
          <w:tcPr>
            <w:cnfStyle w:val="001000000000" w:firstRow="0" w:lastRow="0" w:firstColumn="1" w:lastColumn="0" w:oddVBand="0" w:evenVBand="0" w:oddHBand="0" w:evenHBand="0" w:firstRowFirstColumn="0" w:firstRowLastColumn="0" w:lastRowFirstColumn="0" w:lastRowLastColumn="0"/>
            <w:tcW w:w="3681" w:type="dxa"/>
            <w:vMerge/>
            <w:vAlign w:val="center"/>
          </w:tcPr>
          <w:p w14:paraId="588EDDFA" w14:textId="77777777" w:rsidR="005B35CE" w:rsidRPr="009450FB" w:rsidRDefault="005B35CE" w:rsidP="00E53402">
            <w:pPr>
              <w:jc w:val="left"/>
              <w:rPr>
                <w:rFonts w:cs="Open Sans"/>
                <w:sz w:val="18"/>
                <w:szCs w:val="18"/>
              </w:rPr>
            </w:pPr>
          </w:p>
        </w:tc>
        <w:tc>
          <w:tcPr>
            <w:tcW w:w="6520" w:type="dxa"/>
            <w:vAlign w:val="center"/>
          </w:tcPr>
          <w:p w14:paraId="7BE6AA4A" w14:textId="1C17F5DE" w:rsidR="005B35CE" w:rsidRPr="009450FB" w:rsidRDefault="00C91979" w:rsidP="00E53402">
            <w:pPr>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Pr>
                <w:rFonts w:cs="Open Sans"/>
                <w:sz w:val="18"/>
                <w:szCs w:val="18"/>
              </w:rPr>
              <w:t>D</w:t>
            </w:r>
            <w:r w:rsidR="005B35CE" w:rsidRPr="009450FB">
              <w:rPr>
                <w:rFonts w:cs="Open Sans"/>
                <w:sz w:val="18"/>
                <w:szCs w:val="18"/>
              </w:rPr>
              <w:t xml:space="preserve">iminishing interest following initial activities. This sometimes </w:t>
            </w:r>
            <w:r w:rsidRPr="009450FB">
              <w:rPr>
                <w:rFonts w:cs="Open Sans"/>
                <w:sz w:val="18"/>
                <w:szCs w:val="18"/>
              </w:rPr>
              <w:t>resulted</w:t>
            </w:r>
            <w:r w:rsidR="005B35CE" w:rsidRPr="009450FB">
              <w:rPr>
                <w:rFonts w:cs="Open Sans"/>
                <w:sz w:val="18"/>
                <w:szCs w:val="18"/>
              </w:rPr>
              <w:t xml:space="preserve"> in slower implementation</w:t>
            </w:r>
            <w:r>
              <w:rPr>
                <w:rFonts w:cs="Open Sans"/>
                <w:sz w:val="18"/>
                <w:szCs w:val="18"/>
              </w:rPr>
              <w:t xml:space="preserve"> and</w:t>
            </w:r>
            <w:r w:rsidR="005B35CE" w:rsidRPr="009450FB">
              <w:rPr>
                <w:rFonts w:cs="Open Sans"/>
                <w:sz w:val="18"/>
                <w:szCs w:val="18"/>
              </w:rPr>
              <w:t xml:space="preserve"> the need for additional personnel to aid implementation</w:t>
            </w:r>
            <w:r>
              <w:rPr>
                <w:rFonts w:cs="Open Sans"/>
                <w:sz w:val="18"/>
                <w:szCs w:val="18"/>
              </w:rPr>
              <w:t>.</w:t>
            </w:r>
          </w:p>
        </w:tc>
        <w:tc>
          <w:tcPr>
            <w:tcW w:w="3747" w:type="dxa"/>
            <w:vAlign w:val="center"/>
          </w:tcPr>
          <w:p w14:paraId="5B1FDD5B" w14:textId="38914B66" w:rsidR="005B35CE" w:rsidRPr="00C91979" w:rsidRDefault="004126CD" w:rsidP="00C91979">
            <w:pPr>
              <w:pStyle w:val="ListParagraph"/>
              <w:numPr>
                <w:ilvl w:val="0"/>
                <w:numId w:val="40"/>
              </w:numPr>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C91979">
              <w:rPr>
                <w:rFonts w:cs="Open Sans"/>
                <w:sz w:val="18"/>
                <w:szCs w:val="18"/>
              </w:rPr>
              <w:t>Harnessing OER Practices to Drive Pedagogical Improvement</w:t>
            </w:r>
          </w:p>
        </w:tc>
      </w:tr>
      <w:tr w:rsidR="005B35CE" w:rsidRPr="009450FB" w14:paraId="3B89CFD2" w14:textId="77777777" w:rsidTr="00DC6C64">
        <w:trPr>
          <w:trHeight w:val="1116"/>
        </w:trPr>
        <w:tc>
          <w:tcPr>
            <w:cnfStyle w:val="001000000000" w:firstRow="0" w:lastRow="0" w:firstColumn="1" w:lastColumn="0" w:oddVBand="0" w:evenVBand="0" w:oddHBand="0" w:evenHBand="0" w:firstRowFirstColumn="0" w:firstRowLastColumn="0" w:lastRowFirstColumn="0" w:lastRowLastColumn="0"/>
            <w:tcW w:w="3681" w:type="dxa"/>
            <w:vMerge/>
            <w:vAlign w:val="center"/>
          </w:tcPr>
          <w:p w14:paraId="5832D0EA" w14:textId="77777777" w:rsidR="005B35CE" w:rsidRPr="009450FB" w:rsidRDefault="005B35CE" w:rsidP="00E53402">
            <w:pPr>
              <w:jc w:val="left"/>
              <w:rPr>
                <w:rFonts w:cs="Open Sans"/>
                <w:sz w:val="18"/>
                <w:szCs w:val="18"/>
              </w:rPr>
            </w:pPr>
          </w:p>
        </w:tc>
        <w:tc>
          <w:tcPr>
            <w:tcW w:w="6520" w:type="dxa"/>
            <w:vAlign w:val="center"/>
          </w:tcPr>
          <w:p w14:paraId="308584BD" w14:textId="2770BE01" w:rsidR="005B35CE" w:rsidRPr="009450FB" w:rsidRDefault="005B35CE" w:rsidP="00E53402">
            <w:pPr>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9450FB">
              <w:rPr>
                <w:rFonts w:cs="Open Sans"/>
                <w:sz w:val="18"/>
                <w:szCs w:val="18"/>
              </w:rPr>
              <w:t>Funding presented a challenge, with some initiatives receiving requests from institutions for larger budgets, and others finding it difficult to sustain access to OER when the grant funded project ended due to the resource requirements.</w:t>
            </w:r>
          </w:p>
        </w:tc>
        <w:tc>
          <w:tcPr>
            <w:tcW w:w="3747" w:type="dxa"/>
            <w:vAlign w:val="center"/>
          </w:tcPr>
          <w:p w14:paraId="21F68EF3" w14:textId="77777777" w:rsidR="004126CD" w:rsidRPr="00C91979" w:rsidRDefault="004126CD" w:rsidP="00C91979">
            <w:pPr>
              <w:pStyle w:val="ListParagraph"/>
              <w:numPr>
                <w:ilvl w:val="0"/>
                <w:numId w:val="40"/>
              </w:numPr>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C91979">
              <w:rPr>
                <w:rFonts w:cs="Open Sans"/>
                <w:sz w:val="18"/>
                <w:szCs w:val="18"/>
              </w:rPr>
              <w:t>Harnessing OER Practices to Drive Pedagogical Improvement</w:t>
            </w:r>
          </w:p>
          <w:p w14:paraId="0D421770" w14:textId="1B33815D" w:rsidR="005B35CE" w:rsidRPr="00C91979" w:rsidRDefault="005B35CE" w:rsidP="00C91979">
            <w:pPr>
              <w:pStyle w:val="ListParagraph"/>
              <w:numPr>
                <w:ilvl w:val="0"/>
                <w:numId w:val="40"/>
              </w:numPr>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C91979">
              <w:rPr>
                <w:rFonts w:cs="Open Sans"/>
                <w:sz w:val="18"/>
                <w:szCs w:val="18"/>
              </w:rPr>
              <w:t>TAACCCT</w:t>
            </w:r>
          </w:p>
        </w:tc>
      </w:tr>
      <w:tr w:rsidR="005B35CE" w:rsidRPr="009450FB" w14:paraId="3D8F7245" w14:textId="77777777" w:rsidTr="00DC6C64">
        <w:trPr>
          <w:trHeight w:val="834"/>
        </w:trPr>
        <w:tc>
          <w:tcPr>
            <w:cnfStyle w:val="001000000000" w:firstRow="0" w:lastRow="0" w:firstColumn="1" w:lastColumn="0" w:oddVBand="0" w:evenVBand="0" w:oddHBand="0" w:evenHBand="0" w:firstRowFirstColumn="0" w:firstRowLastColumn="0" w:lastRowFirstColumn="0" w:lastRowLastColumn="0"/>
            <w:tcW w:w="3681" w:type="dxa"/>
            <w:vMerge/>
            <w:vAlign w:val="center"/>
          </w:tcPr>
          <w:p w14:paraId="3DF6D1B9" w14:textId="77777777" w:rsidR="005B35CE" w:rsidRPr="009450FB" w:rsidRDefault="005B35CE" w:rsidP="00E53402">
            <w:pPr>
              <w:jc w:val="left"/>
              <w:rPr>
                <w:rFonts w:cs="Open Sans"/>
                <w:sz w:val="18"/>
                <w:szCs w:val="18"/>
              </w:rPr>
            </w:pPr>
          </w:p>
        </w:tc>
        <w:tc>
          <w:tcPr>
            <w:tcW w:w="6520" w:type="dxa"/>
            <w:vAlign w:val="center"/>
          </w:tcPr>
          <w:p w14:paraId="40D8884A" w14:textId="7FFF04D7" w:rsidR="005B35CE" w:rsidRPr="009450FB" w:rsidRDefault="005B35CE" w:rsidP="00E53402">
            <w:pPr>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9450FB">
              <w:rPr>
                <w:rFonts w:cs="Open Sans"/>
                <w:sz w:val="18"/>
                <w:szCs w:val="18"/>
              </w:rPr>
              <w:t>For some, the time allocated to workshops of two or three days, which were designed to support the localisation of educational materials, and then to return revised materials to the project</w:t>
            </w:r>
            <w:r w:rsidR="00F77555">
              <w:rPr>
                <w:rFonts w:cs="Open Sans"/>
                <w:sz w:val="18"/>
                <w:szCs w:val="18"/>
              </w:rPr>
              <w:t>,</w:t>
            </w:r>
            <w:r w:rsidRPr="009450FB">
              <w:rPr>
                <w:rFonts w:cs="Open Sans"/>
                <w:sz w:val="18"/>
                <w:szCs w:val="18"/>
              </w:rPr>
              <w:t xml:space="preserve"> was too short.</w:t>
            </w:r>
          </w:p>
        </w:tc>
        <w:tc>
          <w:tcPr>
            <w:tcW w:w="3747" w:type="dxa"/>
            <w:vAlign w:val="center"/>
          </w:tcPr>
          <w:p w14:paraId="4DF14FCE" w14:textId="132235B2" w:rsidR="005B35CE" w:rsidRPr="00C91979" w:rsidRDefault="005B35CE" w:rsidP="00C91979">
            <w:pPr>
              <w:pStyle w:val="ListParagraph"/>
              <w:numPr>
                <w:ilvl w:val="0"/>
                <w:numId w:val="40"/>
              </w:numPr>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C91979">
              <w:rPr>
                <w:rFonts w:cs="Open Sans"/>
                <w:sz w:val="18"/>
                <w:szCs w:val="18"/>
              </w:rPr>
              <w:t>TESS-India</w:t>
            </w:r>
          </w:p>
        </w:tc>
      </w:tr>
      <w:tr w:rsidR="005B35CE" w:rsidRPr="009450FB" w14:paraId="4E2FEBDA" w14:textId="77777777" w:rsidTr="00DC6C64">
        <w:trPr>
          <w:trHeight w:val="987"/>
        </w:trPr>
        <w:tc>
          <w:tcPr>
            <w:cnfStyle w:val="001000000000" w:firstRow="0" w:lastRow="0" w:firstColumn="1" w:lastColumn="0" w:oddVBand="0" w:evenVBand="0" w:oddHBand="0" w:evenHBand="0" w:firstRowFirstColumn="0" w:firstRowLastColumn="0" w:lastRowFirstColumn="0" w:lastRowLastColumn="0"/>
            <w:tcW w:w="3681" w:type="dxa"/>
            <w:vMerge w:val="restart"/>
            <w:vAlign w:val="center"/>
          </w:tcPr>
          <w:p w14:paraId="000A6142" w14:textId="2272B7D8" w:rsidR="005B35CE" w:rsidRPr="009450FB" w:rsidRDefault="005B35CE" w:rsidP="00E53402">
            <w:pPr>
              <w:jc w:val="left"/>
              <w:rPr>
                <w:rFonts w:cs="Open Sans"/>
                <w:b w:val="0"/>
                <w:bCs w:val="0"/>
                <w:sz w:val="18"/>
                <w:szCs w:val="18"/>
              </w:rPr>
            </w:pPr>
            <w:r w:rsidRPr="005C55D1">
              <w:rPr>
                <w:rFonts w:cs="Open Sans"/>
                <w:sz w:val="18"/>
                <w:szCs w:val="18"/>
              </w:rPr>
              <w:t>Working with staff and other partners</w:t>
            </w:r>
            <w:r w:rsidRPr="009450FB">
              <w:rPr>
                <w:rFonts w:cs="Open Sans"/>
                <w:b w:val="0"/>
                <w:bCs w:val="0"/>
                <w:sz w:val="18"/>
                <w:szCs w:val="18"/>
              </w:rPr>
              <w:t xml:space="preserve"> created challenges, from getting partners on board to managing dynamics amongst experts or dealing with staff turnover.</w:t>
            </w:r>
          </w:p>
        </w:tc>
        <w:tc>
          <w:tcPr>
            <w:tcW w:w="6520" w:type="dxa"/>
            <w:vAlign w:val="center"/>
          </w:tcPr>
          <w:p w14:paraId="2941D188" w14:textId="37CE9E29" w:rsidR="005B35CE" w:rsidRPr="009450FB" w:rsidRDefault="00566C67" w:rsidP="00E53402">
            <w:pPr>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Pr>
                <w:rFonts w:cs="Open Sans"/>
                <w:sz w:val="18"/>
                <w:szCs w:val="18"/>
              </w:rPr>
              <w:t>D</w:t>
            </w:r>
            <w:r w:rsidR="005B35CE" w:rsidRPr="009450FB">
              <w:rPr>
                <w:rFonts w:cs="Open Sans"/>
                <w:sz w:val="18"/>
                <w:szCs w:val="18"/>
              </w:rPr>
              <w:t>ifficulties in getting departments of education on board. Initiatives also experienced issues in collaborating with government officials, subject experts</w:t>
            </w:r>
            <w:r>
              <w:rPr>
                <w:rFonts w:cs="Open Sans"/>
                <w:sz w:val="18"/>
                <w:szCs w:val="18"/>
              </w:rPr>
              <w:t>.</w:t>
            </w:r>
          </w:p>
        </w:tc>
        <w:tc>
          <w:tcPr>
            <w:tcW w:w="3747" w:type="dxa"/>
            <w:vAlign w:val="center"/>
          </w:tcPr>
          <w:p w14:paraId="75FFFB02" w14:textId="77777777" w:rsidR="005B35CE" w:rsidRPr="00C91979" w:rsidRDefault="005B35CE" w:rsidP="00C91979">
            <w:pPr>
              <w:pStyle w:val="ListParagraph"/>
              <w:numPr>
                <w:ilvl w:val="0"/>
                <w:numId w:val="40"/>
              </w:numPr>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C91979">
              <w:rPr>
                <w:rFonts w:cs="Open Sans"/>
                <w:sz w:val="18"/>
                <w:szCs w:val="18"/>
              </w:rPr>
              <w:t>African Storybook</w:t>
            </w:r>
          </w:p>
          <w:p w14:paraId="5D101CDB" w14:textId="784D6EBD" w:rsidR="005B35CE" w:rsidRPr="00C91979" w:rsidRDefault="005B35CE" w:rsidP="00C91979">
            <w:pPr>
              <w:pStyle w:val="ListParagraph"/>
              <w:numPr>
                <w:ilvl w:val="0"/>
                <w:numId w:val="40"/>
              </w:numPr>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C91979">
              <w:rPr>
                <w:rFonts w:cs="Open Sans"/>
                <w:sz w:val="18"/>
                <w:szCs w:val="18"/>
              </w:rPr>
              <w:t>TESS-India</w:t>
            </w:r>
          </w:p>
        </w:tc>
      </w:tr>
      <w:tr w:rsidR="005B35CE" w:rsidRPr="009450FB" w14:paraId="71827C65" w14:textId="77777777" w:rsidTr="00DC6C64">
        <w:trPr>
          <w:trHeight w:val="1271"/>
        </w:trPr>
        <w:tc>
          <w:tcPr>
            <w:cnfStyle w:val="001000000000" w:firstRow="0" w:lastRow="0" w:firstColumn="1" w:lastColumn="0" w:oddVBand="0" w:evenVBand="0" w:oddHBand="0" w:evenHBand="0" w:firstRowFirstColumn="0" w:firstRowLastColumn="0" w:lastRowFirstColumn="0" w:lastRowLastColumn="0"/>
            <w:tcW w:w="3681" w:type="dxa"/>
            <w:vMerge/>
            <w:vAlign w:val="center"/>
          </w:tcPr>
          <w:p w14:paraId="4F5ED692" w14:textId="77777777" w:rsidR="005B35CE" w:rsidRPr="009450FB" w:rsidRDefault="005B35CE" w:rsidP="00E53402">
            <w:pPr>
              <w:jc w:val="left"/>
              <w:rPr>
                <w:rFonts w:cs="Open Sans"/>
                <w:b w:val="0"/>
                <w:bCs w:val="0"/>
                <w:sz w:val="18"/>
                <w:szCs w:val="18"/>
              </w:rPr>
            </w:pPr>
          </w:p>
        </w:tc>
        <w:tc>
          <w:tcPr>
            <w:tcW w:w="6520" w:type="dxa"/>
            <w:vAlign w:val="center"/>
          </w:tcPr>
          <w:p w14:paraId="045A8133" w14:textId="27DEFAA5" w:rsidR="005B35CE" w:rsidRPr="009450FB" w:rsidRDefault="00566C67" w:rsidP="00E53402">
            <w:pPr>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Pr>
                <w:rFonts w:cs="Open Sans"/>
                <w:sz w:val="18"/>
                <w:szCs w:val="18"/>
              </w:rPr>
              <w:t>I</w:t>
            </w:r>
            <w:r w:rsidR="005B35CE" w:rsidRPr="009450FB">
              <w:rPr>
                <w:rFonts w:cs="Open Sans"/>
                <w:sz w:val="18"/>
                <w:szCs w:val="18"/>
              </w:rPr>
              <w:t>ssues with staff turnover. In one case, key staff who had been trained left, and new staff members were inexperienced, presenting difficulties in implementing project activities. University staff also had competing priorities and attending OER CPD initiatives was not always a priority</w:t>
            </w:r>
            <w:r w:rsidR="00A16DD1">
              <w:rPr>
                <w:rFonts w:cs="Open Sans"/>
                <w:sz w:val="18"/>
                <w:szCs w:val="18"/>
              </w:rPr>
              <w:t>.</w:t>
            </w:r>
          </w:p>
        </w:tc>
        <w:tc>
          <w:tcPr>
            <w:tcW w:w="3747" w:type="dxa"/>
            <w:vAlign w:val="center"/>
          </w:tcPr>
          <w:p w14:paraId="1F1B330F" w14:textId="6BF6CB0C" w:rsidR="005B35CE" w:rsidRPr="00C91979" w:rsidRDefault="004126CD" w:rsidP="00C91979">
            <w:pPr>
              <w:pStyle w:val="ListParagraph"/>
              <w:numPr>
                <w:ilvl w:val="0"/>
                <w:numId w:val="40"/>
              </w:numPr>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C91979">
              <w:rPr>
                <w:rFonts w:cs="Open Sans"/>
                <w:sz w:val="18"/>
                <w:szCs w:val="18"/>
              </w:rPr>
              <w:t>Harnessing OER Practices to Drive Pedagogical Improvement</w:t>
            </w:r>
          </w:p>
        </w:tc>
      </w:tr>
      <w:tr w:rsidR="005B35CE" w:rsidRPr="009450FB" w14:paraId="01D1D6D6" w14:textId="77777777" w:rsidTr="00DC6C64">
        <w:trPr>
          <w:trHeight w:val="552"/>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6227DA68" w14:textId="2F7EBD53" w:rsidR="005B35CE" w:rsidRPr="009450FB" w:rsidRDefault="005B35CE" w:rsidP="00E53402">
            <w:pPr>
              <w:jc w:val="left"/>
              <w:rPr>
                <w:rFonts w:cs="Open Sans"/>
                <w:b w:val="0"/>
                <w:bCs w:val="0"/>
                <w:sz w:val="18"/>
                <w:szCs w:val="18"/>
              </w:rPr>
            </w:pPr>
            <w:r w:rsidRPr="005C55D1">
              <w:rPr>
                <w:rFonts w:cs="Open Sans"/>
                <w:sz w:val="18"/>
                <w:szCs w:val="18"/>
              </w:rPr>
              <w:t>Philosophical differences</w:t>
            </w:r>
            <w:r w:rsidRPr="009450FB">
              <w:rPr>
                <w:rFonts w:cs="Open Sans"/>
                <w:b w:val="0"/>
                <w:bCs w:val="0"/>
                <w:sz w:val="18"/>
                <w:szCs w:val="18"/>
              </w:rPr>
              <w:t xml:space="preserve"> had an impact on implementation of initiatives’ aims</w:t>
            </w:r>
          </w:p>
        </w:tc>
        <w:tc>
          <w:tcPr>
            <w:tcW w:w="6520" w:type="dxa"/>
            <w:vAlign w:val="center"/>
          </w:tcPr>
          <w:p w14:paraId="2DF2AFEF" w14:textId="066675C1" w:rsidR="005B35CE" w:rsidRPr="009450FB" w:rsidRDefault="005B35CE" w:rsidP="00E53402">
            <w:pPr>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9450FB">
              <w:rPr>
                <w:rFonts w:cs="Open Sans"/>
                <w:sz w:val="18"/>
                <w:szCs w:val="18"/>
              </w:rPr>
              <w:t>Some take a philosophical approach that imposes strict definitional requirements</w:t>
            </w:r>
            <w:r w:rsidR="00A16DD1">
              <w:rPr>
                <w:rFonts w:cs="Open Sans"/>
                <w:sz w:val="18"/>
                <w:szCs w:val="18"/>
              </w:rPr>
              <w:t xml:space="preserve"> o</w:t>
            </w:r>
            <w:r w:rsidR="00827D54">
              <w:rPr>
                <w:rFonts w:cs="Open Sans"/>
                <w:sz w:val="18"/>
                <w:szCs w:val="18"/>
              </w:rPr>
              <w:t>n Z-Degrees</w:t>
            </w:r>
            <w:r w:rsidRPr="009450FB">
              <w:rPr>
                <w:rFonts w:cs="Open Sans"/>
                <w:sz w:val="18"/>
                <w:szCs w:val="18"/>
              </w:rPr>
              <w:t>, while others take a looser, more practical approach</w:t>
            </w:r>
            <w:r w:rsidR="00A16DD1">
              <w:rPr>
                <w:rFonts w:cs="Open Sans"/>
                <w:sz w:val="18"/>
                <w:szCs w:val="18"/>
              </w:rPr>
              <w:t>.</w:t>
            </w:r>
          </w:p>
        </w:tc>
        <w:tc>
          <w:tcPr>
            <w:tcW w:w="3747" w:type="dxa"/>
            <w:vAlign w:val="center"/>
          </w:tcPr>
          <w:p w14:paraId="525429BB" w14:textId="1244E9FD" w:rsidR="005B35CE" w:rsidRPr="00C91979" w:rsidRDefault="000175E2" w:rsidP="00C91979">
            <w:pPr>
              <w:pStyle w:val="ListParagraph"/>
              <w:numPr>
                <w:ilvl w:val="0"/>
                <w:numId w:val="40"/>
              </w:numPr>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Pr>
                <w:rFonts w:cs="Open Sans"/>
                <w:sz w:val="18"/>
                <w:szCs w:val="18"/>
              </w:rPr>
              <w:t xml:space="preserve">OER </w:t>
            </w:r>
            <w:r w:rsidR="005B35CE" w:rsidRPr="00C91979">
              <w:rPr>
                <w:rFonts w:cs="Open Sans"/>
                <w:sz w:val="18"/>
                <w:szCs w:val="18"/>
              </w:rPr>
              <w:t>Degrees</w:t>
            </w:r>
          </w:p>
        </w:tc>
      </w:tr>
    </w:tbl>
    <w:p w14:paraId="47A63BD6" w14:textId="54F4B3D6" w:rsidR="005B35CE" w:rsidRDefault="005B35CE" w:rsidP="005115FA">
      <w:pPr>
        <w:pStyle w:val="Heading2"/>
      </w:pPr>
      <w:r>
        <w:t>Lessons learned</w:t>
      </w:r>
    </w:p>
    <w:p w14:paraId="76899C9D" w14:textId="184A3B42" w:rsidR="005B35CE" w:rsidRDefault="005B35CE" w:rsidP="00D97ED3">
      <w:r w:rsidRPr="00D97ED3">
        <w:t>The case study summaries revealed valuable insights on lessons and practices that contributed to initiatives’ success. These insights related to OER-related research; CPD; implementation of OER-related initiatives; the quality and relevance of OER; policy; and sustainability.</w:t>
      </w:r>
    </w:p>
    <w:p w14:paraId="20FAA09D" w14:textId="77777777" w:rsidR="005B35CE" w:rsidRDefault="005B35CE" w:rsidP="00D97ED3"/>
    <w:p w14:paraId="4833B553" w14:textId="2B89F2F0" w:rsidR="00F60318" w:rsidRDefault="00F60318" w:rsidP="00F60318">
      <w:pPr>
        <w:pStyle w:val="TableReference"/>
      </w:pPr>
      <w:r>
        <w:t>Lessons learned from case studies</w:t>
      </w:r>
    </w:p>
    <w:tbl>
      <w:tblPr>
        <w:tblStyle w:val="GridTable1Light-Accent1"/>
        <w:tblW w:w="0" w:type="auto"/>
        <w:tblLook w:val="04A0" w:firstRow="1" w:lastRow="0" w:firstColumn="1" w:lastColumn="0" w:noHBand="0" w:noVBand="1"/>
      </w:tblPr>
      <w:tblGrid>
        <w:gridCol w:w="3823"/>
        <w:gridCol w:w="6520"/>
        <w:gridCol w:w="3605"/>
      </w:tblGrid>
      <w:tr w:rsidR="005B35CE" w:rsidRPr="003A00AA" w14:paraId="1B512BB1" w14:textId="77777777" w:rsidTr="000D5F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23" w:type="dxa"/>
            <w:vAlign w:val="center"/>
          </w:tcPr>
          <w:p w14:paraId="7954C864" w14:textId="4BCD11CA" w:rsidR="005B35CE" w:rsidRPr="003A00AA" w:rsidRDefault="005B35CE" w:rsidP="00C24453">
            <w:pPr>
              <w:jc w:val="left"/>
              <w:rPr>
                <w:rFonts w:cs="Open Sans"/>
                <w:sz w:val="18"/>
                <w:szCs w:val="18"/>
              </w:rPr>
            </w:pPr>
            <w:r w:rsidRPr="003A00AA">
              <w:rPr>
                <w:rFonts w:cs="Open Sans"/>
                <w:sz w:val="18"/>
                <w:szCs w:val="18"/>
              </w:rPr>
              <w:t>Themes</w:t>
            </w:r>
          </w:p>
        </w:tc>
        <w:tc>
          <w:tcPr>
            <w:tcW w:w="6520" w:type="dxa"/>
            <w:vAlign w:val="center"/>
          </w:tcPr>
          <w:p w14:paraId="44989DB7" w14:textId="15304688" w:rsidR="005B35CE" w:rsidRPr="003A00AA" w:rsidRDefault="005B35CE" w:rsidP="00C24453">
            <w:pPr>
              <w:jc w:val="left"/>
              <w:cnfStyle w:val="100000000000" w:firstRow="1" w:lastRow="0" w:firstColumn="0" w:lastColumn="0" w:oddVBand="0" w:evenVBand="0" w:oddHBand="0" w:evenHBand="0" w:firstRowFirstColumn="0" w:firstRowLastColumn="0" w:lastRowFirstColumn="0" w:lastRowLastColumn="0"/>
              <w:rPr>
                <w:rFonts w:cs="Open Sans"/>
                <w:sz w:val="18"/>
                <w:szCs w:val="18"/>
              </w:rPr>
            </w:pPr>
            <w:r w:rsidRPr="003A00AA">
              <w:rPr>
                <w:rFonts w:cs="Open Sans"/>
                <w:sz w:val="18"/>
                <w:szCs w:val="18"/>
              </w:rPr>
              <w:t>Findings</w:t>
            </w:r>
          </w:p>
        </w:tc>
        <w:tc>
          <w:tcPr>
            <w:tcW w:w="3605" w:type="dxa"/>
            <w:vAlign w:val="center"/>
          </w:tcPr>
          <w:p w14:paraId="2DE73E63" w14:textId="780E8234" w:rsidR="005B35CE" w:rsidRPr="003A00AA" w:rsidRDefault="005B35CE" w:rsidP="00C24453">
            <w:pPr>
              <w:jc w:val="left"/>
              <w:cnfStyle w:val="100000000000" w:firstRow="1" w:lastRow="0" w:firstColumn="0" w:lastColumn="0" w:oddVBand="0" w:evenVBand="0" w:oddHBand="0" w:evenHBand="0" w:firstRowFirstColumn="0" w:firstRowLastColumn="0" w:lastRowFirstColumn="0" w:lastRowLastColumn="0"/>
              <w:rPr>
                <w:rFonts w:cs="Open Sans"/>
                <w:sz w:val="18"/>
                <w:szCs w:val="18"/>
              </w:rPr>
            </w:pPr>
            <w:r w:rsidRPr="003A00AA">
              <w:rPr>
                <w:rFonts w:cs="Open Sans"/>
                <w:sz w:val="18"/>
                <w:szCs w:val="18"/>
              </w:rPr>
              <w:t>Evidence in case studies</w:t>
            </w:r>
          </w:p>
        </w:tc>
      </w:tr>
      <w:tr w:rsidR="005B35CE" w:rsidRPr="003A00AA" w14:paraId="0C358B11" w14:textId="77777777" w:rsidTr="00DC6C64">
        <w:trPr>
          <w:trHeight w:val="2014"/>
        </w:trPr>
        <w:tc>
          <w:tcPr>
            <w:cnfStyle w:val="001000000000" w:firstRow="0" w:lastRow="0" w:firstColumn="1" w:lastColumn="0" w:oddVBand="0" w:evenVBand="0" w:oddHBand="0" w:evenHBand="0" w:firstRowFirstColumn="0" w:firstRowLastColumn="0" w:lastRowFirstColumn="0" w:lastRowLastColumn="0"/>
            <w:tcW w:w="3823" w:type="dxa"/>
            <w:vAlign w:val="center"/>
          </w:tcPr>
          <w:p w14:paraId="1405E2F8" w14:textId="2905FFC8" w:rsidR="005B35CE" w:rsidRPr="003A00AA" w:rsidRDefault="00691C24" w:rsidP="00C24453">
            <w:pPr>
              <w:jc w:val="left"/>
              <w:rPr>
                <w:rFonts w:cs="Open Sans"/>
                <w:b w:val="0"/>
                <w:bCs w:val="0"/>
                <w:sz w:val="18"/>
                <w:szCs w:val="18"/>
              </w:rPr>
            </w:pPr>
            <w:r>
              <w:rPr>
                <w:rFonts w:cs="Open Sans"/>
                <w:b w:val="0"/>
                <w:bCs w:val="0"/>
                <w:sz w:val="18"/>
                <w:szCs w:val="18"/>
              </w:rPr>
              <w:t>I</w:t>
            </w:r>
            <w:r w:rsidR="005B35CE" w:rsidRPr="003A00AA">
              <w:rPr>
                <w:rFonts w:cs="Open Sans"/>
                <w:b w:val="0"/>
                <w:bCs w:val="0"/>
                <w:sz w:val="18"/>
                <w:szCs w:val="18"/>
              </w:rPr>
              <w:t>nitiatives explored how r</w:t>
            </w:r>
            <w:r w:rsidR="005B35CE" w:rsidRPr="005C55D1">
              <w:rPr>
                <w:rFonts w:cs="Open Sans"/>
                <w:sz w:val="18"/>
                <w:szCs w:val="18"/>
              </w:rPr>
              <w:t>esearch on OER and related topics</w:t>
            </w:r>
            <w:r w:rsidR="005B35CE" w:rsidRPr="003A00AA">
              <w:rPr>
                <w:rFonts w:cs="Open Sans"/>
                <w:b w:val="0"/>
                <w:bCs w:val="0"/>
                <w:sz w:val="18"/>
                <w:szCs w:val="18"/>
              </w:rPr>
              <w:t xml:space="preserve"> is conducted, which topics are covered, and how this is disseminated.</w:t>
            </w:r>
          </w:p>
        </w:tc>
        <w:tc>
          <w:tcPr>
            <w:tcW w:w="6520" w:type="dxa"/>
            <w:vAlign w:val="center"/>
          </w:tcPr>
          <w:p w14:paraId="40E10A60" w14:textId="763A240A" w:rsidR="005B35CE" w:rsidRPr="003A00AA" w:rsidRDefault="009061B2" w:rsidP="00C24453">
            <w:pPr>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Pr>
                <w:rFonts w:cs="Open Sans"/>
                <w:sz w:val="18"/>
                <w:szCs w:val="18"/>
              </w:rPr>
              <w:t>D</w:t>
            </w:r>
            <w:r w:rsidR="005B35CE" w:rsidRPr="003A00AA">
              <w:rPr>
                <w:rFonts w:cs="Open Sans"/>
                <w:sz w:val="18"/>
                <w:szCs w:val="18"/>
              </w:rPr>
              <w:t>evelop</w:t>
            </w:r>
            <w:r>
              <w:rPr>
                <w:rFonts w:cs="Open Sans"/>
                <w:sz w:val="18"/>
                <w:szCs w:val="18"/>
              </w:rPr>
              <w:t>ing</w:t>
            </w:r>
            <w:r w:rsidR="005B35CE" w:rsidRPr="003A00AA">
              <w:rPr>
                <w:rFonts w:cs="Open Sans"/>
                <w:sz w:val="18"/>
                <w:szCs w:val="18"/>
              </w:rPr>
              <w:t xml:space="preserve"> research capacities when engaging with universities </w:t>
            </w:r>
            <w:r>
              <w:rPr>
                <w:rFonts w:cs="Open Sans"/>
                <w:sz w:val="18"/>
                <w:szCs w:val="18"/>
              </w:rPr>
              <w:t>is</w:t>
            </w:r>
            <w:r w:rsidR="005B35CE" w:rsidRPr="003A00AA">
              <w:rPr>
                <w:rFonts w:cs="Open Sans"/>
                <w:sz w:val="18"/>
                <w:szCs w:val="18"/>
              </w:rPr>
              <w:t xml:space="preserve"> an important addition to CPD in teaching and learning – especially because of the value that academics place on research. </w:t>
            </w:r>
            <w:r>
              <w:rPr>
                <w:rFonts w:cs="Open Sans"/>
                <w:sz w:val="18"/>
                <w:szCs w:val="18"/>
              </w:rPr>
              <w:t>Research</w:t>
            </w:r>
            <w:r w:rsidR="005B35CE" w:rsidRPr="003A00AA">
              <w:rPr>
                <w:rFonts w:cs="Open Sans"/>
                <w:sz w:val="18"/>
                <w:szCs w:val="18"/>
              </w:rPr>
              <w:t xml:space="preserve"> identified capacity needs such as ‘packaging’ and disseminating research outputs for different audiences The case studies also found that universities should conduct comprehensive research on OER-related topics before adopting them, which can also help them to derive lessons for their own implementation.</w:t>
            </w:r>
          </w:p>
        </w:tc>
        <w:tc>
          <w:tcPr>
            <w:tcW w:w="3605" w:type="dxa"/>
            <w:vAlign w:val="center"/>
          </w:tcPr>
          <w:p w14:paraId="66B22EE5" w14:textId="07D0FCF0" w:rsidR="005B35CE" w:rsidRPr="00C91979" w:rsidRDefault="004126CD" w:rsidP="00C91979">
            <w:pPr>
              <w:pStyle w:val="ListParagraph"/>
              <w:numPr>
                <w:ilvl w:val="0"/>
                <w:numId w:val="40"/>
              </w:numPr>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C91979">
              <w:rPr>
                <w:rFonts w:cs="Open Sans"/>
                <w:sz w:val="18"/>
                <w:szCs w:val="18"/>
              </w:rPr>
              <w:t>Harnessing OER Practices to Drive Pedagogical Improvement</w:t>
            </w:r>
          </w:p>
          <w:p w14:paraId="1457ED41" w14:textId="7789AD8A" w:rsidR="005B35CE" w:rsidRPr="00C91979" w:rsidRDefault="000175E2" w:rsidP="00C91979">
            <w:pPr>
              <w:pStyle w:val="ListParagraph"/>
              <w:numPr>
                <w:ilvl w:val="0"/>
                <w:numId w:val="40"/>
              </w:numPr>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Pr>
                <w:rFonts w:cs="Open Sans"/>
                <w:sz w:val="18"/>
                <w:szCs w:val="18"/>
              </w:rPr>
              <w:t xml:space="preserve">OER </w:t>
            </w:r>
            <w:r w:rsidR="005B35CE" w:rsidRPr="00C91979">
              <w:rPr>
                <w:rFonts w:cs="Open Sans"/>
                <w:sz w:val="18"/>
                <w:szCs w:val="18"/>
              </w:rPr>
              <w:t>Degrees</w:t>
            </w:r>
          </w:p>
        </w:tc>
      </w:tr>
      <w:tr w:rsidR="005B35CE" w:rsidRPr="003A00AA" w14:paraId="6F29FC03" w14:textId="77777777" w:rsidTr="00DC6C64">
        <w:trPr>
          <w:trHeight w:val="1122"/>
        </w:trPr>
        <w:tc>
          <w:tcPr>
            <w:cnfStyle w:val="001000000000" w:firstRow="0" w:lastRow="0" w:firstColumn="1" w:lastColumn="0" w:oddVBand="0" w:evenVBand="0" w:oddHBand="0" w:evenHBand="0" w:firstRowFirstColumn="0" w:firstRowLastColumn="0" w:lastRowFirstColumn="0" w:lastRowLastColumn="0"/>
            <w:tcW w:w="3823" w:type="dxa"/>
            <w:vMerge w:val="restart"/>
            <w:vAlign w:val="center"/>
          </w:tcPr>
          <w:p w14:paraId="7D24C458" w14:textId="32DD9D8D" w:rsidR="005B35CE" w:rsidRPr="003A00AA" w:rsidRDefault="00166F3E" w:rsidP="00C24453">
            <w:pPr>
              <w:jc w:val="left"/>
              <w:rPr>
                <w:rFonts w:cs="Open Sans"/>
                <w:b w:val="0"/>
                <w:bCs w:val="0"/>
                <w:sz w:val="18"/>
                <w:szCs w:val="18"/>
              </w:rPr>
            </w:pPr>
            <w:r>
              <w:rPr>
                <w:rFonts w:cs="Open Sans"/>
                <w:b w:val="0"/>
                <w:bCs w:val="0"/>
                <w:sz w:val="18"/>
                <w:szCs w:val="18"/>
                <w:lang w:val="en-GB"/>
              </w:rPr>
              <w:lastRenderedPageBreak/>
              <w:t>I</w:t>
            </w:r>
            <w:r w:rsidR="005B35CE" w:rsidRPr="003A00AA">
              <w:rPr>
                <w:rFonts w:cs="Open Sans"/>
                <w:b w:val="0"/>
                <w:bCs w:val="0"/>
                <w:sz w:val="18"/>
                <w:szCs w:val="18"/>
                <w:lang w:val="en-GB"/>
              </w:rPr>
              <w:t xml:space="preserve">nitiatives highlighted </w:t>
            </w:r>
            <w:r w:rsidR="005B35CE" w:rsidRPr="005C55D1">
              <w:rPr>
                <w:rFonts w:cs="Open Sans"/>
                <w:sz w:val="18"/>
                <w:szCs w:val="18"/>
                <w:lang w:val="en-GB"/>
              </w:rPr>
              <w:t>practices relating to skills and CPD</w:t>
            </w:r>
            <w:r w:rsidR="005B35CE" w:rsidRPr="003A00AA">
              <w:rPr>
                <w:rFonts w:cs="Open Sans"/>
                <w:b w:val="0"/>
                <w:bCs w:val="0"/>
                <w:sz w:val="18"/>
                <w:szCs w:val="18"/>
                <w:lang w:val="en-GB"/>
              </w:rPr>
              <w:t>, which included insights around local language expertise, existing knowledge and skills, the use of technology, and CPD provision for academics.</w:t>
            </w:r>
          </w:p>
        </w:tc>
        <w:tc>
          <w:tcPr>
            <w:tcW w:w="6520" w:type="dxa"/>
            <w:vAlign w:val="center"/>
          </w:tcPr>
          <w:p w14:paraId="068D5484" w14:textId="7DADB232" w:rsidR="005B35CE" w:rsidRPr="003A00AA" w:rsidRDefault="005B35CE" w:rsidP="00C24453">
            <w:pPr>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3A00AA">
              <w:rPr>
                <w:rFonts w:cs="Open Sans"/>
                <w:sz w:val="18"/>
                <w:szCs w:val="18"/>
                <w:lang w:val="en-GB"/>
              </w:rPr>
              <w:t xml:space="preserve">Skills-related lessons stressed the importance of finding partners with local language expertise who can translate, and quality assure in local languages. A related point was aligning </w:t>
            </w:r>
            <w:r w:rsidR="00166F3E">
              <w:rPr>
                <w:rFonts w:cs="Open Sans"/>
                <w:sz w:val="18"/>
                <w:szCs w:val="18"/>
                <w:lang w:val="en-GB"/>
              </w:rPr>
              <w:t>content</w:t>
            </w:r>
            <w:r w:rsidRPr="003A00AA">
              <w:rPr>
                <w:rFonts w:cs="Open Sans"/>
                <w:sz w:val="18"/>
                <w:szCs w:val="18"/>
                <w:lang w:val="en-GB"/>
              </w:rPr>
              <w:t xml:space="preserve"> creation and adaptation with demand, so that content development and remixing is purposeful.</w:t>
            </w:r>
          </w:p>
        </w:tc>
        <w:tc>
          <w:tcPr>
            <w:tcW w:w="3605" w:type="dxa"/>
            <w:vAlign w:val="center"/>
          </w:tcPr>
          <w:p w14:paraId="76EFF8D5" w14:textId="7A24AA81" w:rsidR="005B35CE" w:rsidRPr="00C91979" w:rsidRDefault="005B35CE" w:rsidP="00C91979">
            <w:pPr>
              <w:pStyle w:val="ListParagraph"/>
              <w:numPr>
                <w:ilvl w:val="0"/>
                <w:numId w:val="40"/>
              </w:numPr>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C91979">
              <w:rPr>
                <w:rFonts w:cs="Open Sans"/>
                <w:sz w:val="18"/>
                <w:szCs w:val="18"/>
              </w:rPr>
              <w:t>African Storybook</w:t>
            </w:r>
          </w:p>
        </w:tc>
      </w:tr>
      <w:tr w:rsidR="005B35CE" w:rsidRPr="003A00AA" w14:paraId="559C405E" w14:textId="77777777" w:rsidTr="00DC6C64">
        <w:trPr>
          <w:trHeight w:val="1563"/>
        </w:trPr>
        <w:tc>
          <w:tcPr>
            <w:cnfStyle w:val="001000000000" w:firstRow="0" w:lastRow="0" w:firstColumn="1" w:lastColumn="0" w:oddVBand="0" w:evenVBand="0" w:oddHBand="0" w:evenHBand="0" w:firstRowFirstColumn="0" w:firstRowLastColumn="0" w:lastRowFirstColumn="0" w:lastRowLastColumn="0"/>
            <w:tcW w:w="3823" w:type="dxa"/>
            <w:vMerge/>
            <w:vAlign w:val="center"/>
          </w:tcPr>
          <w:p w14:paraId="38B5EA03" w14:textId="77777777" w:rsidR="005B35CE" w:rsidRPr="003A00AA" w:rsidRDefault="005B35CE" w:rsidP="00C24453">
            <w:pPr>
              <w:jc w:val="left"/>
              <w:rPr>
                <w:rFonts w:cs="Open Sans"/>
                <w:b w:val="0"/>
                <w:bCs w:val="0"/>
                <w:sz w:val="18"/>
                <w:szCs w:val="18"/>
              </w:rPr>
            </w:pPr>
          </w:p>
        </w:tc>
        <w:tc>
          <w:tcPr>
            <w:tcW w:w="6520" w:type="dxa"/>
            <w:vAlign w:val="center"/>
          </w:tcPr>
          <w:p w14:paraId="35DF56B9" w14:textId="32A634FD" w:rsidR="005B35CE" w:rsidRPr="003A00AA" w:rsidRDefault="005B35CE" w:rsidP="00C24453">
            <w:pPr>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3A00AA">
              <w:rPr>
                <w:rFonts w:cs="Open Sans"/>
                <w:sz w:val="18"/>
                <w:szCs w:val="18"/>
              </w:rPr>
              <w:t>Focus on leveraging university staff’s existing knowledge and skills, including skills related to online learning and OER. From there, build additional skills. In addition, find ways to motivate participants to take ownership of their CPD path; focus on in-depth activities instead of broader topic areas; and record lessons, workshops, and activities so that results of CPD activities can be shared, built upon, and applied.</w:t>
            </w:r>
            <w:r w:rsidRPr="003A00AA">
              <w:rPr>
                <w:rFonts w:cs="Open Sans"/>
                <w:sz w:val="18"/>
                <w:szCs w:val="18"/>
                <w:vertAlign w:val="superscript"/>
              </w:rPr>
              <w:endnoteReference w:id="13"/>
            </w:r>
          </w:p>
        </w:tc>
        <w:tc>
          <w:tcPr>
            <w:tcW w:w="3605" w:type="dxa"/>
            <w:vAlign w:val="center"/>
          </w:tcPr>
          <w:p w14:paraId="59C50082" w14:textId="77777777" w:rsidR="005B35CE" w:rsidRPr="00C91979" w:rsidRDefault="005B35CE" w:rsidP="00C91979">
            <w:pPr>
              <w:pStyle w:val="ListParagraph"/>
              <w:numPr>
                <w:ilvl w:val="0"/>
                <w:numId w:val="40"/>
              </w:numPr>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C91979">
              <w:rPr>
                <w:rFonts w:cs="Open Sans"/>
                <w:sz w:val="18"/>
                <w:szCs w:val="18"/>
              </w:rPr>
              <w:t>OER@AVU</w:t>
            </w:r>
          </w:p>
          <w:p w14:paraId="75B16D90" w14:textId="259A4793" w:rsidR="005B35CE" w:rsidRPr="00C91979" w:rsidRDefault="004126CD" w:rsidP="00C91979">
            <w:pPr>
              <w:pStyle w:val="ListParagraph"/>
              <w:numPr>
                <w:ilvl w:val="0"/>
                <w:numId w:val="40"/>
              </w:numPr>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C91979">
              <w:rPr>
                <w:rFonts w:cs="Open Sans"/>
                <w:sz w:val="18"/>
                <w:szCs w:val="18"/>
              </w:rPr>
              <w:t>Harnessing OER Practices to Drive Pedagogical Improvement</w:t>
            </w:r>
          </w:p>
          <w:p w14:paraId="540EC4AF" w14:textId="32C5348F" w:rsidR="005B35CE" w:rsidRPr="00C91979" w:rsidRDefault="005B35CE" w:rsidP="00C91979">
            <w:pPr>
              <w:pStyle w:val="ListParagraph"/>
              <w:numPr>
                <w:ilvl w:val="0"/>
                <w:numId w:val="40"/>
              </w:numPr>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proofErr w:type="spellStart"/>
            <w:r w:rsidRPr="00C91979">
              <w:rPr>
                <w:rFonts w:cs="Open Sans"/>
                <w:sz w:val="18"/>
                <w:szCs w:val="18"/>
              </w:rPr>
              <w:t>LiDA</w:t>
            </w:r>
            <w:proofErr w:type="spellEnd"/>
          </w:p>
        </w:tc>
      </w:tr>
      <w:tr w:rsidR="005B35CE" w:rsidRPr="003A00AA" w14:paraId="08D72D8E" w14:textId="77777777" w:rsidTr="00DC6C64">
        <w:trPr>
          <w:trHeight w:val="833"/>
        </w:trPr>
        <w:tc>
          <w:tcPr>
            <w:cnfStyle w:val="001000000000" w:firstRow="0" w:lastRow="0" w:firstColumn="1" w:lastColumn="0" w:oddVBand="0" w:evenVBand="0" w:oddHBand="0" w:evenHBand="0" w:firstRowFirstColumn="0" w:firstRowLastColumn="0" w:lastRowFirstColumn="0" w:lastRowLastColumn="0"/>
            <w:tcW w:w="3823" w:type="dxa"/>
            <w:vMerge/>
            <w:vAlign w:val="center"/>
          </w:tcPr>
          <w:p w14:paraId="665E4B56" w14:textId="77777777" w:rsidR="005B35CE" w:rsidRPr="003A00AA" w:rsidRDefault="005B35CE" w:rsidP="00C24453">
            <w:pPr>
              <w:jc w:val="left"/>
              <w:rPr>
                <w:rFonts w:cs="Open Sans"/>
                <w:b w:val="0"/>
                <w:bCs w:val="0"/>
                <w:sz w:val="18"/>
                <w:szCs w:val="18"/>
              </w:rPr>
            </w:pPr>
          </w:p>
        </w:tc>
        <w:tc>
          <w:tcPr>
            <w:tcW w:w="6520" w:type="dxa"/>
            <w:vAlign w:val="center"/>
          </w:tcPr>
          <w:p w14:paraId="4A7CFF61" w14:textId="5EB92489" w:rsidR="005B35CE" w:rsidRPr="003A00AA" w:rsidRDefault="005B35CE" w:rsidP="00C24453">
            <w:pPr>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3A00AA">
              <w:rPr>
                <w:rFonts w:cs="Open Sans"/>
                <w:sz w:val="18"/>
                <w:szCs w:val="18"/>
              </w:rPr>
              <w:t>Ongoing OER awareness training can perform a vital function, together with options to pursue deeper training with library and instructional design support</w:t>
            </w:r>
            <w:r w:rsidR="00830960">
              <w:rPr>
                <w:rFonts w:cs="Open Sans"/>
                <w:sz w:val="18"/>
                <w:szCs w:val="18"/>
              </w:rPr>
              <w:t>.</w:t>
            </w:r>
          </w:p>
        </w:tc>
        <w:tc>
          <w:tcPr>
            <w:tcW w:w="3605" w:type="dxa"/>
            <w:vAlign w:val="center"/>
          </w:tcPr>
          <w:p w14:paraId="385DFD9C" w14:textId="0DC4718E" w:rsidR="005B35CE" w:rsidRPr="00C91979" w:rsidRDefault="000175E2" w:rsidP="00C91979">
            <w:pPr>
              <w:pStyle w:val="ListParagraph"/>
              <w:numPr>
                <w:ilvl w:val="0"/>
                <w:numId w:val="40"/>
              </w:numPr>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Pr>
                <w:rFonts w:cs="Open Sans"/>
                <w:sz w:val="18"/>
                <w:szCs w:val="18"/>
              </w:rPr>
              <w:t xml:space="preserve">OER </w:t>
            </w:r>
            <w:r w:rsidR="005B35CE" w:rsidRPr="00C91979">
              <w:rPr>
                <w:rFonts w:cs="Open Sans"/>
                <w:sz w:val="18"/>
                <w:szCs w:val="18"/>
              </w:rPr>
              <w:t>Degrees</w:t>
            </w:r>
          </w:p>
        </w:tc>
      </w:tr>
      <w:tr w:rsidR="005B35CE" w:rsidRPr="003A00AA" w14:paraId="5952BD17" w14:textId="77777777" w:rsidTr="00DC6C64">
        <w:trPr>
          <w:trHeight w:val="1125"/>
        </w:trPr>
        <w:tc>
          <w:tcPr>
            <w:cnfStyle w:val="001000000000" w:firstRow="0" w:lastRow="0" w:firstColumn="1" w:lastColumn="0" w:oddVBand="0" w:evenVBand="0" w:oddHBand="0" w:evenHBand="0" w:firstRowFirstColumn="0" w:firstRowLastColumn="0" w:lastRowFirstColumn="0" w:lastRowLastColumn="0"/>
            <w:tcW w:w="3823" w:type="dxa"/>
            <w:vMerge w:val="restart"/>
            <w:vAlign w:val="center"/>
          </w:tcPr>
          <w:p w14:paraId="41FB58EF" w14:textId="37AE1C21" w:rsidR="005B35CE" w:rsidRPr="003A00AA" w:rsidRDefault="005B35CE" w:rsidP="00C24453">
            <w:pPr>
              <w:jc w:val="left"/>
              <w:rPr>
                <w:rFonts w:cs="Open Sans"/>
                <w:b w:val="0"/>
                <w:bCs w:val="0"/>
                <w:sz w:val="18"/>
                <w:szCs w:val="18"/>
              </w:rPr>
            </w:pPr>
            <w:r w:rsidRPr="003A00AA">
              <w:rPr>
                <w:rFonts w:cs="Open Sans"/>
                <w:b w:val="0"/>
                <w:bCs w:val="0"/>
                <w:sz w:val="18"/>
                <w:szCs w:val="18"/>
              </w:rPr>
              <w:t xml:space="preserve">Initiatives gleaned important lessons regarding </w:t>
            </w:r>
            <w:r w:rsidRPr="005C55D1">
              <w:rPr>
                <w:rFonts w:cs="Open Sans"/>
                <w:sz w:val="18"/>
                <w:szCs w:val="18"/>
              </w:rPr>
              <w:t>implementation of their activities</w:t>
            </w:r>
            <w:r w:rsidRPr="003A00AA">
              <w:rPr>
                <w:rFonts w:cs="Open Sans"/>
                <w:b w:val="0"/>
                <w:bCs w:val="0"/>
                <w:sz w:val="18"/>
                <w:szCs w:val="18"/>
              </w:rPr>
              <w:t>. Key themes that emerged included partnerships and how to manage them; strategic approaches to implementation; the use of champions; and administration.</w:t>
            </w:r>
          </w:p>
        </w:tc>
        <w:tc>
          <w:tcPr>
            <w:tcW w:w="6520" w:type="dxa"/>
            <w:vAlign w:val="center"/>
          </w:tcPr>
          <w:p w14:paraId="628F9314" w14:textId="30F965A5" w:rsidR="005B35CE" w:rsidRPr="003A00AA" w:rsidRDefault="00BA3C34" w:rsidP="00C24453">
            <w:pPr>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Pr>
                <w:rFonts w:cs="Open Sans"/>
                <w:sz w:val="18"/>
                <w:szCs w:val="18"/>
              </w:rPr>
              <w:t>B</w:t>
            </w:r>
            <w:r w:rsidR="005B35CE" w:rsidRPr="003A00AA">
              <w:rPr>
                <w:rFonts w:cs="Open Sans"/>
                <w:sz w:val="18"/>
                <w:szCs w:val="18"/>
              </w:rPr>
              <w:t>uilding partnerships and continuously seeking out new potential partners (both local and international)</w:t>
            </w:r>
            <w:r>
              <w:rPr>
                <w:rFonts w:cs="Open Sans"/>
                <w:sz w:val="18"/>
                <w:szCs w:val="18"/>
              </w:rPr>
              <w:t xml:space="preserve"> is key</w:t>
            </w:r>
            <w:r w:rsidR="005B35CE" w:rsidRPr="003A00AA">
              <w:rPr>
                <w:rFonts w:cs="Open Sans"/>
                <w:sz w:val="18"/>
                <w:szCs w:val="18"/>
              </w:rPr>
              <w:t>. Though the examples are quite diverse, they demonstrate the value in casting the net wide when it comes to finding implementation partners for OER initiatives, which has the dual goal of assisting implementation and advocating for the use of OER in different spheres of influence.</w:t>
            </w:r>
          </w:p>
        </w:tc>
        <w:tc>
          <w:tcPr>
            <w:tcW w:w="3605" w:type="dxa"/>
            <w:vAlign w:val="center"/>
          </w:tcPr>
          <w:p w14:paraId="3B3970C8" w14:textId="77777777" w:rsidR="005B35CE" w:rsidRPr="00C91979" w:rsidRDefault="005B35CE" w:rsidP="00C91979">
            <w:pPr>
              <w:pStyle w:val="ListParagraph"/>
              <w:numPr>
                <w:ilvl w:val="0"/>
                <w:numId w:val="40"/>
              </w:numPr>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C91979">
              <w:rPr>
                <w:rFonts w:cs="Open Sans"/>
                <w:sz w:val="18"/>
                <w:szCs w:val="18"/>
              </w:rPr>
              <w:t>African Storybook</w:t>
            </w:r>
          </w:p>
          <w:p w14:paraId="390A4055" w14:textId="7935B413" w:rsidR="005B35CE" w:rsidRPr="00C91979" w:rsidRDefault="000175E2" w:rsidP="00C91979">
            <w:pPr>
              <w:pStyle w:val="ListParagraph"/>
              <w:numPr>
                <w:ilvl w:val="0"/>
                <w:numId w:val="40"/>
              </w:numPr>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Pr>
                <w:rFonts w:cs="Open Sans"/>
                <w:sz w:val="18"/>
                <w:szCs w:val="18"/>
              </w:rPr>
              <w:t xml:space="preserve">OER </w:t>
            </w:r>
            <w:r w:rsidR="005B35CE" w:rsidRPr="00C91979">
              <w:rPr>
                <w:rFonts w:cs="Open Sans"/>
                <w:sz w:val="18"/>
                <w:szCs w:val="18"/>
              </w:rPr>
              <w:t>Degree</w:t>
            </w:r>
            <w:r>
              <w:rPr>
                <w:rFonts w:cs="Open Sans"/>
                <w:sz w:val="18"/>
                <w:szCs w:val="18"/>
              </w:rPr>
              <w:t>s</w:t>
            </w:r>
          </w:p>
        </w:tc>
      </w:tr>
      <w:tr w:rsidR="005B35CE" w:rsidRPr="003A00AA" w14:paraId="7979EAB8" w14:textId="77777777" w:rsidTr="00DC6C64">
        <w:trPr>
          <w:trHeight w:val="808"/>
        </w:trPr>
        <w:tc>
          <w:tcPr>
            <w:cnfStyle w:val="001000000000" w:firstRow="0" w:lastRow="0" w:firstColumn="1" w:lastColumn="0" w:oddVBand="0" w:evenVBand="0" w:oddHBand="0" w:evenHBand="0" w:firstRowFirstColumn="0" w:firstRowLastColumn="0" w:lastRowFirstColumn="0" w:lastRowLastColumn="0"/>
            <w:tcW w:w="3823" w:type="dxa"/>
            <w:vMerge/>
            <w:vAlign w:val="center"/>
          </w:tcPr>
          <w:p w14:paraId="562D0EBE" w14:textId="77777777" w:rsidR="005B35CE" w:rsidRPr="003A00AA" w:rsidRDefault="005B35CE" w:rsidP="00C24453">
            <w:pPr>
              <w:jc w:val="left"/>
              <w:rPr>
                <w:rFonts w:cs="Open Sans"/>
                <w:b w:val="0"/>
                <w:bCs w:val="0"/>
                <w:sz w:val="18"/>
                <w:szCs w:val="18"/>
              </w:rPr>
            </w:pPr>
          </w:p>
        </w:tc>
        <w:tc>
          <w:tcPr>
            <w:tcW w:w="6520" w:type="dxa"/>
            <w:vAlign w:val="center"/>
          </w:tcPr>
          <w:p w14:paraId="199B84BD" w14:textId="4DFEE429" w:rsidR="005B35CE" w:rsidRPr="003A00AA" w:rsidRDefault="005B35CE" w:rsidP="00C24453">
            <w:pPr>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3A00AA">
              <w:rPr>
                <w:rFonts w:cs="Open Sans"/>
                <w:sz w:val="18"/>
                <w:szCs w:val="18"/>
              </w:rPr>
              <w:t>Regarding implementation approaches, there is value in collaborative strategies that decentralize the work across partnering institutions, yet ensure a high degree of ownership by each institution.</w:t>
            </w:r>
          </w:p>
        </w:tc>
        <w:tc>
          <w:tcPr>
            <w:tcW w:w="3605" w:type="dxa"/>
            <w:vAlign w:val="center"/>
          </w:tcPr>
          <w:p w14:paraId="7E4007D8" w14:textId="4683D25C" w:rsidR="005B35CE" w:rsidRPr="00C91979" w:rsidRDefault="005B35CE" w:rsidP="00C91979">
            <w:pPr>
              <w:pStyle w:val="ListParagraph"/>
              <w:numPr>
                <w:ilvl w:val="0"/>
                <w:numId w:val="40"/>
              </w:numPr>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C91979">
              <w:rPr>
                <w:rFonts w:cs="Open Sans"/>
                <w:sz w:val="18"/>
                <w:szCs w:val="18"/>
              </w:rPr>
              <w:t>OER@AVU</w:t>
            </w:r>
          </w:p>
        </w:tc>
      </w:tr>
      <w:tr w:rsidR="005B35CE" w:rsidRPr="003A00AA" w14:paraId="0F414A7B" w14:textId="77777777" w:rsidTr="00DC6C64">
        <w:trPr>
          <w:trHeight w:val="564"/>
        </w:trPr>
        <w:tc>
          <w:tcPr>
            <w:cnfStyle w:val="001000000000" w:firstRow="0" w:lastRow="0" w:firstColumn="1" w:lastColumn="0" w:oddVBand="0" w:evenVBand="0" w:oddHBand="0" w:evenHBand="0" w:firstRowFirstColumn="0" w:firstRowLastColumn="0" w:lastRowFirstColumn="0" w:lastRowLastColumn="0"/>
            <w:tcW w:w="3823" w:type="dxa"/>
            <w:vMerge/>
            <w:vAlign w:val="center"/>
          </w:tcPr>
          <w:p w14:paraId="36F731F7" w14:textId="77777777" w:rsidR="005B35CE" w:rsidRPr="003A00AA" w:rsidRDefault="005B35CE" w:rsidP="00C24453">
            <w:pPr>
              <w:jc w:val="left"/>
              <w:rPr>
                <w:rFonts w:cs="Open Sans"/>
                <w:b w:val="0"/>
                <w:bCs w:val="0"/>
                <w:sz w:val="18"/>
                <w:szCs w:val="18"/>
              </w:rPr>
            </w:pPr>
          </w:p>
        </w:tc>
        <w:tc>
          <w:tcPr>
            <w:tcW w:w="6520" w:type="dxa"/>
            <w:vAlign w:val="center"/>
          </w:tcPr>
          <w:p w14:paraId="4444AE04" w14:textId="4A29E89D" w:rsidR="005B35CE" w:rsidRPr="003A00AA" w:rsidRDefault="005B35CE" w:rsidP="00C24453">
            <w:pPr>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3A00AA">
              <w:rPr>
                <w:rFonts w:cs="Open Sans"/>
                <w:sz w:val="18"/>
                <w:szCs w:val="18"/>
              </w:rPr>
              <w:t>Open education strategies should be required as part of the request for proposals and be specifically outlined within project plans.</w:t>
            </w:r>
          </w:p>
        </w:tc>
        <w:tc>
          <w:tcPr>
            <w:tcW w:w="3605" w:type="dxa"/>
            <w:vAlign w:val="center"/>
          </w:tcPr>
          <w:p w14:paraId="19D4AEC4" w14:textId="44CDBD08" w:rsidR="005B35CE" w:rsidRPr="00C91979" w:rsidRDefault="005B35CE" w:rsidP="00C91979">
            <w:pPr>
              <w:pStyle w:val="ListParagraph"/>
              <w:numPr>
                <w:ilvl w:val="0"/>
                <w:numId w:val="40"/>
              </w:numPr>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C91979">
              <w:rPr>
                <w:rFonts w:cs="Open Sans"/>
                <w:sz w:val="18"/>
                <w:szCs w:val="18"/>
              </w:rPr>
              <w:t>TAACCCT</w:t>
            </w:r>
          </w:p>
        </w:tc>
      </w:tr>
      <w:tr w:rsidR="005B35CE" w:rsidRPr="003A00AA" w14:paraId="3D2A1AB2" w14:textId="77777777" w:rsidTr="00DC6C64">
        <w:trPr>
          <w:trHeight w:val="770"/>
        </w:trPr>
        <w:tc>
          <w:tcPr>
            <w:cnfStyle w:val="001000000000" w:firstRow="0" w:lastRow="0" w:firstColumn="1" w:lastColumn="0" w:oddVBand="0" w:evenVBand="0" w:oddHBand="0" w:evenHBand="0" w:firstRowFirstColumn="0" w:firstRowLastColumn="0" w:lastRowFirstColumn="0" w:lastRowLastColumn="0"/>
            <w:tcW w:w="3823" w:type="dxa"/>
            <w:vMerge/>
            <w:vAlign w:val="center"/>
          </w:tcPr>
          <w:p w14:paraId="5CDCCD9E" w14:textId="77777777" w:rsidR="005B35CE" w:rsidRPr="003A00AA" w:rsidRDefault="005B35CE" w:rsidP="00C24453">
            <w:pPr>
              <w:jc w:val="left"/>
              <w:rPr>
                <w:rFonts w:cs="Open Sans"/>
                <w:b w:val="0"/>
                <w:bCs w:val="0"/>
                <w:sz w:val="18"/>
                <w:szCs w:val="18"/>
              </w:rPr>
            </w:pPr>
          </w:p>
        </w:tc>
        <w:tc>
          <w:tcPr>
            <w:tcW w:w="6520" w:type="dxa"/>
            <w:vAlign w:val="center"/>
          </w:tcPr>
          <w:p w14:paraId="1DC90675" w14:textId="2D4D4ADE" w:rsidR="005B35CE" w:rsidRPr="003A00AA" w:rsidRDefault="00500EBA" w:rsidP="00C24453">
            <w:pPr>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Pr>
                <w:rFonts w:cs="Open Sans"/>
                <w:sz w:val="18"/>
                <w:szCs w:val="18"/>
              </w:rPr>
              <w:t>C</w:t>
            </w:r>
            <w:r w:rsidR="005B35CE" w:rsidRPr="003A00AA">
              <w:rPr>
                <w:rFonts w:cs="Open Sans"/>
                <w:sz w:val="18"/>
                <w:szCs w:val="18"/>
              </w:rPr>
              <w:t>reate an enabling environment for team members and champions, as well as creating cross-functional teams to aid effective decision-making, development, and roll-out</w:t>
            </w:r>
            <w:r w:rsidR="001F2F9C">
              <w:rPr>
                <w:rFonts w:cs="Open Sans"/>
                <w:sz w:val="18"/>
                <w:szCs w:val="18"/>
              </w:rPr>
              <w:t>.</w:t>
            </w:r>
          </w:p>
        </w:tc>
        <w:tc>
          <w:tcPr>
            <w:tcW w:w="3605" w:type="dxa"/>
            <w:vAlign w:val="center"/>
          </w:tcPr>
          <w:p w14:paraId="7018C956" w14:textId="77777777" w:rsidR="005B35CE" w:rsidRPr="00C91979" w:rsidRDefault="005B35CE" w:rsidP="00C91979">
            <w:pPr>
              <w:pStyle w:val="ListParagraph"/>
              <w:numPr>
                <w:ilvl w:val="0"/>
                <w:numId w:val="40"/>
              </w:numPr>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C91979">
              <w:rPr>
                <w:rFonts w:cs="Open Sans"/>
                <w:sz w:val="18"/>
                <w:szCs w:val="18"/>
              </w:rPr>
              <w:t>African Storybook</w:t>
            </w:r>
          </w:p>
          <w:p w14:paraId="44098B19" w14:textId="61B9B94C" w:rsidR="005B35CE" w:rsidRPr="00C91979" w:rsidRDefault="000175E2" w:rsidP="00C91979">
            <w:pPr>
              <w:pStyle w:val="ListParagraph"/>
              <w:numPr>
                <w:ilvl w:val="0"/>
                <w:numId w:val="40"/>
              </w:numPr>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Pr>
                <w:rFonts w:cs="Open Sans"/>
                <w:sz w:val="18"/>
                <w:szCs w:val="18"/>
              </w:rPr>
              <w:t xml:space="preserve">OER </w:t>
            </w:r>
            <w:r w:rsidR="005B35CE" w:rsidRPr="00C91979">
              <w:rPr>
                <w:rFonts w:cs="Open Sans"/>
                <w:sz w:val="18"/>
                <w:szCs w:val="18"/>
              </w:rPr>
              <w:t>Degrees</w:t>
            </w:r>
          </w:p>
        </w:tc>
      </w:tr>
      <w:tr w:rsidR="005B35CE" w:rsidRPr="003A00AA" w14:paraId="4491627A" w14:textId="77777777" w:rsidTr="00DC6C64">
        <w:trPr>
          <w:trHeight w:val="1052"/>
        </w:trPr>
        <w:tc>
          <w:tcPr>
            <w:cnfStyle w:val="001000000000" w:firstRow="0" w:lastRow="0" w:firstColumn="1" w:lastColumn="0" w:oddVBand="0" w:evenVBand="0" w:oddHBand="0" w:evenHBand="0" w:firstRowFirstColumn="0" w:firstRowLastColumn="0" w:lastRowFirstColumn="0" w:lastRowLastColumn="0"/>
            <w:tcW w:w="3823" w:type="dxa"/>
            <w:vMerge/>
            <w:vAlign w:val="center"/>
          </w:tcPr>
          <w:p w14:paraId="18DA0BE6" w14:textId="77777777" w:rsidR="005B35CE" w:rsidRPr="003A00AA" w:rsidRDefault="005B35CE" w:rsidP="00C24453">
            <w:pPr>
              <w:jc w:val="left"/>
              <w:rPr>
                <w:rFonts w:cs="Open Sans"/>
                <w:b w:val="0"/>
                <w:bCs w:val="0"/>
                <w:sz w:val="18"/>
                <w:szCs w:val="18"/>
              </w:rPr>
            </w:pPr>
          </w:p>
        </w:tc>
        <w:tc>
          <w:tcPr>
            <w:tcW w:w="6520" w:type="dxa"/>
            <w:vAlign w:val="center"/>
          </w:tcPr>
          <w:p w14:paraId="00073C51" w14:textId="0E2F9BE9" w:rsidR="005B35CE" w:rsidRPr="003A00AA" w:rsidRDefault="005B35CE" w:rsidP="00C24453">
            <w:pPr>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3A00AA">
              <w:rPr>
                <w:rFonts w:cs="Open Sans"/>
                <w:sz w:val="18"/>
                <w:szCs w:val="18"/>
              </w:rPr>
              <w:t>Focus on fitness for purpose and the relevance of openly licensed content. This includes remaining aware of where participants are located and nuanced linguistic, cultural, and pedagogic needs to choose the best format.</w:t>
            </w:r>
          </w:p>
        </w:tc>
        <w:tc>
          <w:tcPr>
            <w:tcW w:w="3605" w:type="dxa"/>
            <w:vAlign w:val="center"/>
          </w:tcPr>
          <w:p w14:paraId="537CFA16" w14:textId="1615652A" w:rsidR="005B35CE" w:rsidRPr="00C91979" w:rsidRDefault="004126CD" w:rsidP="00C91979">
            <w:pPr>
              <w:pStyle w:val="ListParagraph"/>
              <w:numPr>
                <w:ilvl w:val="0"/>
                <w:numId w:val="40"/>
              </w:numPr>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C91979">
              <w:rPr>
                <w:rFonts w:cs="Open Sans"/>
                <w:sz w:val="18"/>
                <w:szCs w:val="18"/>
              </w:rPr>
              <w:t>Harnessing OER Practices to Drive Pedagogical Improvement</w:t>
            </w:r>
          </w:p>
          <w:p w14:paraId="7C92F08F" w14:textId="77777777" w:rsidR="005B35CE" w:rsidRPr="00C91979" w:rsidRDefault="005B35CE" w:rsidP="00C91979">
            <w:pPr>
              <w:pStyle w:val="ListParagraph"/>
              <w:numPr>
                <w:ilvl w:val="0"/>
                <w:numId w:val="40"/>
              </w:numPr>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C91979">
              <w:rPr>
                <w:rFonts w:cs="Open Sans"/>
                <w:sz w:val="18"/>
                <w:szCs w:val="18"/>
              </w:rPr>
              <w:t>OER@AVU</w:t>
            </w:r>
          </w:p>
          <w:p w14:paraId="30A1A706" w14:textId="2C23A499" w:rsidR="005B35CE" w:rsidRPr="00C91979" w:rsidRDefault="005B35CE" w:rsidP="00C91979">
            <w:pPr>
              <w:pStyle w:val="ListParagraph"/>
              <w:numPr>
                <w:ilvl w:val="0"/>
                <w:numId w:val="40"/>
              </w:numPr>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C91979">
              <w:rPr>
                <w:rFonts w:cs="Open Sans"/>
                <w:sz w:val="18"/>
                <w:szCs w:val="18"/>
              </w:rPr>
              <w:t>TESS-India</w:t>
            </w:r>
          </w:p>
        </w:tc>
      </w:tr>
      <w:tr w:rsidR="005B35CE" w:rsidRPr="003A00AA" w14:paraId="32E4CE71" w14:textId="77777777" w:rsidTr="00DC6C64">
        <w:trPr>
          <w:trHeight w:val="1549"/>
        </w:trPr>
        <w:tc>
          <w:tcPr>
            <w:cnfStyle w:val="001000000000" w:firstRow="0" w:lastRow="0" w:firstColumn="1" w:lastColumn="0" w:oddVBand="0" w:evenVBand="0" w:oddHBand="0" w:evenHBand="0" w:firstRowFirstColumn="0" w:firstRowLastColumn="0" w:lastRowFirstColumn="0" w:lastRowLastColumn="0"/>
            <w:tcW w:w="3823" w:type="dxa"/>
            <w:vMerge/>
            <w:vAlign w:val="center"/>
          </w:tcPr>
          <w:p w14:paraId="5DE5C658" w14:textId="77777777" w:rsidR="005B35CE" w:rsidRPr="003A00AA" w:rsidRDefault="005B35CE" w:rsidP="00C24453">
            <w:pPr>
              <w:jc w:val="left"/>
              <w:rPr>
                <w:rFonts w:cs="Open Sans"/>
                <w:sz w:val="18"/>
                <w:szCs w:val="18"/>
              </w:rPr>
            </w:pPr>
          </w:p>
        </w:tc>
        <w:tc>
          <w:tcPr>
            <w:tcW w:w="6520" w:type="dxa"/>
            <w:vAlign w:val="center"/>
          </w:tcPr>
          <w:p w14:paraId="52F7078B" w14:textId="6E6E44CA" w:rsidR="005B35CE" w:rsidRPr="003A00AA" w:rsidRDefault="005B35CE" w:rsidP="00C24453">
            <w:pPr>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3A00AA">
              <w:rPr>
                <w:rFonts w:cs="Open Sans"/>
                <w:sz w:val="18"/>
                <w:szCs w:val="18"/>
              </w:rPr>
              <w:t>Policy can be used as a tool to extend the impact of OER. In terms of open licensing policies in particular, integrating OER into broader curriculum policies at an institution is important for creating system-wide impact that goes beyond the level of the individual. Moreover, open licensing policies across government can lead to more efficient reuse of publicly funded grant outputs.</w:t>
            </w:r>
          </w:p>
        </w:tc>
        <w:tc>
          <w:tcPr>
            <w:tcW w:w="3605" w:type="dxa"/>
            <w:vAlign w:val="center"/>
          </w:tcPr>
          <w:p w14:paraId="1751F6F7" w14:textId="77777777" w:rsidR="005B35CE" w:rsidRPr="00C91979" w:rsidRDefault="005B35CE" w:rsidP="00C91979">
            <w:pPr>
              <w:pStyle w:val="ListParagraph"/>
              <w:numPr>
                <w:ilvl w:val="0"/>
                <w:numId w:val="40"/>
              </w:numPr>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C91979">
              <w:rPr>
                <w:rFonts w:cs="Open Sans"/>
                <w:sz w:val="18"/>
                <w:szCs w:val="18"/>
              </w:rPr>
              <w:t>OER@AVU</w:t>
            </w:r>
          </w:p>
          <w:p w14:paraId="69E936B6" w14:textId="3E7C25B1" w:rsidR="005B35CE" w:rsidRPr="00C91979" w:rsidRDefault="005B35CE" w:rsidP="00C91979">
            <w:pPr>
              <w:pStyle w:val="ListParagraph"/>
              <w:numPr>
                <w:ilvl w:val="0"/>
                <w:numId w:val="40"/>
              </w:numPr>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C91979">
              <w:rPr>
                <w:rFonts w:cs="Open Sans"/>
                <w:sz w:val="18"/>
                <w:szCs w:val="18"/>
              </w:rPr>
              <w:t>TAACCCT</w:t>
            </w:r>
          </w:p>
        </w:tc>
      </w:tr>
      <w:tr w:rsidR="005B35CE" w:rsidRPr="003A00AA" w14:paraId="01A38423" w14:textId="77777777" w:rsidTr="00DC6C64">
        <w:trPr>
          <w:trHeight w:val="564"/>
        </w:trPr>
        <w:tc>
          <w:tcPr>
            <w:cnfStyle w:val="001000000000" w:firstRow="0" w:lastRow="0" w:firstColumn="1" w:lastColumn="0" w:oddVBand="0" w:evenVBand="0" w:oddHBand="0" w:evenHBand="0" w:firstRowFirstColumn="0" w:firstRowLastColumn="0" w:lastRowFirstColumn="0" w:lastRowLastColumn="0"/>
            <w:tcW w:w="3823" w:type="dxa"/>
            <w:vMerge/>
            <w:vAlign w:val="center"/>
          </w:tcPr>
          <w:p w14:paraId="34B2D79C" w14:textId="77777777" w:rsidR="005B35CE" w:rsidRPr="003A00AA" w:rsidRDefault="005B35CE" w:rsidP="00C24453">
            <w:pPr>
              <w:jc w:val="left"/>
              <w:rPr>
                <w:rFonts w:cs="Open Sans"/>
                <w:sz w:val="18"/>
                <w:szCs w:val="18"/>
              </w:rPr>
            </w:pPr>
          </w:p>
        </w:tc>
        <w:tc>
          <w:tcPr>
            <w:tcW w:w="6520" w:type="dxa"/>
            <w:vAlign w:val="center"/>
          </w:tcPr>
          <w:p w14:paraId="4C064BD9" w14:textId="3BBEC77A" w:rsidR="005B35CE" w:rsidRPr="003A00AA" w:rsidRDefault="005B35CE" w:rsidP="00C24453">
            <w:pPr>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3A00AA">
              <w:rPr>
                <w:rFonts w:cs="Open Sans"/>
                <w:sz w:val="18"/>
                <w:szCs w:val="18"/>
              </w:rPr>
              <w:t>In terms of sustainability, leadership development, the use of appropriate technologies, and prioritising sustainability are essential for project success</w:t>
            </w:r>
          </w:p>
        </w:tc>
        <w:tc>
          <w:tcPr>
            <w:tcW w:w="3605" w:type="dxa"/>
            <w:vAlign w:val="center"/>
          </w:tcPr>
          <w:p w14:paraId="20F7546F" w14:textId="77777777" w:rsidR="005B35CE" w:rsidRPr="00C91979" w:rsidRDefault="005B35CE" w:rsidP="00C91979">
            <w:pPr>
              <w:pStyle w:val="ListParagraph"/>
              <w:numPr>
                <w:ilvl w:val="0"/>
                <w:numId w:val="41"/>
              </w:numPr>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C91979">
              <w:rPr>
                <w:rFonts w:cs="Open Sans"/>
                <w:sz w:val="18"/>
                <w:szCs w:val="18"/>
              </w:rPr>
              <w:t>TAACCCT</w:t>
            </w:r>
          </w:p>
          <w:p w14:paraId="28989BF3" w14:textId="2369B953" w:rsidR="005B35CE" w:rsidRPr="00C91979" w:rsidRDefault="000175E2" w:rsidP="00C91979">
            <w:pPr>
              <w:pStyle w:val="ListParagraph"/>
              <w:numPr>
                <w:ilvl w:val="0"/>
                <w:numId w:val="41"/>
              </w:numPr>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Pr>
                <w:rFonts w:cs="Open Sans"/>
                <w:sz w:val="18"/>
                <w:szCs w:val="18"/>
              </w:rPr>
              <w:t xml:space="preserve">OER </w:t>
            </w:r>
            <w:r w:rsidR="005B35CE" w:rsidRPr="00C91979">
              <w:rPr>
                <w:rFonts w:cs="Open Sans"/>
                <w:sz w:val="18"/>
                <w:szCs w:val="18"/>
              </w:rPr>
              <w:t>Degree</w:t>
            </w:r>
            <w:r>
              <w:rPr>
                <w:rFonts w:cs="Open Sans"/>
                <w:sz w:val="18"/>
                <w:szCs w:val="18"/>
              </w:rPr>
              <w:t>s</w:t>
            </w:r>
          </w:p>
        </w:tc>
      </w:tr>
    </w:tbl>
    <w:p w14:paraId="25DE38FA" w14:textId="77777777" w:rsidR="005B35CE" w:rsidRPr="00D97ED3" w:rsidRDefault="005B35CE" w:rsidP="00D97ED3"/>
    <w:p w14:paraId="4835A9F1" w14:textId="77777777" w:rsidR="005B35CE" w:rsidRDefault="005B35CE" w:rsidP="008B44D0"/>
    <w:p w14:paraId="4C1009D5" w14:textId="38BD10AE" w:rsidR="005B35CE" w:rsidRDefault="005B35CE" w:rsidP="008B44D0">
      <w:pPr>
        <w:sectPr w:rsidR="005B35CE" w:rsidSect="000D5FC9">
          <w:footerReference w:type="default" r:id="rId32"/>
          <w:footerReference w:type="first" r:id="rId33"/>
          <w:pgSz w:w="16838" w:h="11906" w:orient="landscape"/>
          <w:pgMar w:top="1440" w:right="1440" w:bottom="1440" w:left="1440" w:header="709" w:footer="709" w:gutter="0"/>
          <w:cols w:space="708"/>
          <w:titlePg/>
          <w:docGrid w:linePitch="360"/>
        </w:sectPr>
      </w:pPr>
    </w:p>
    <w:p w14:paraId="1D40EC93" w14:textId="0C9DCE77" w:rsidR="005B35CE" w:rsidRDefault="005B35CE" w:rsidP="00CE377F">
      <w:pPr>
        <w:pStyle w:val="Heading2"/>
      </w:pPr>
      <w:r w:rsidRPr="003F245E">
        <w:lastRenderedPageBreak/>
        <w:t>Translating local insights into an international context</w:t>
      </w:r>
    </w:p>
    <w:p w14:paraId="4BC4A912" w14:textId="576DB392" w:rsidR="005B35CE" w:rsidRPr="00B26E66" w:rsidRDefault="005B35CE" w:rsidP="00B26E66">
      <w:r w:rsidRPr="00B26E66">
        <w:t>Related to the lessons above, the case studies highlighted how they could be translated into relevant insights for other countries. Because some of these insights are particular to the initiatives that produced them, they are summarized in the table below according the case study they originate from.</w:t>
      </w:r>
    </w:p>
    <w:p w14:paraId="22988C3E" w14:textId="2F66C718" w:rsidR="005B35CE" w:rsidRDefault="005B35CE" w:rsidP="00EE733C"/>
    <w:p w14:paraId="4F44932A" w14:textId="70E35D77" w:rsidR="00F60318" w:rsidRDefault="000B443D" w:rsidP="000B443D">
      <w:pPr>
        <w:pStyle w:val="TableReference"/>
      </w:pPr>
      <w:r>
        <w:t>Translating local insights from the case studies into an international context</w:t>
      </w:r>
    </w:p>
    <w:tbl>
      <w:tblPr>
        <w:tblStyle w:val="GridTable1Light-Accent1"/>
        <w:tblW w:w="0" w:type="auto"/>
        <w:tblLook w:val="04A0" w:firstRow="1" w:lastRow="0" w:firstColumn="1" w:lastColumn="0" w:noHBand="0" w:noVBand="1"/>
      </w:tblPr>
      <w:tblGrid>
        <w:gridCol w:w="3256"/>
        <w:gridCol w:w="5760"/>
      </w:tblGrid>
      <w:tr w:rsidR="005B35CE" w:rsidRPr="003A00AA" w14:paraId="4E7202A7" w14:textId="77777777" w:rsidTr="00C2445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56" w:type="dxa"/>
            <w:shd w:val="clear" w:color="auto" w:fill="BCC1CF"/>
            <w:vAlign w:val="center"/>
          </w:tcPr>
          <w:p w14:paraId="2DB61837" w14:textId="1123A0AC" w:rsidR="005B35CE" w:rsidRPr="003A00AA" w:rsidRDefault="005B35CE" w:rsidP="00C24453">
            <w:pPr>
              <w:jc w:val="left"/>
              <w:rPr>
                <w:sz w:val="18"/>
                <w:szCs w:val="18"/>
              </w:rPr>
            </w:pPr>
            <w:r w:rsidRPr="003A00AA">
              <w:rPr>
                <w:sz w:val="18"/>
                <w:szCs w:val="18"/>
              </w:rPr>
              <w:t>Case study</w:t>
            </w:r>
          </w:p>
        </w:tc>
        <w:tc>
          <w:tcPr>
            <w:tcW w:w="5760" w:type="dxa"/>
            <w:shd w:val="clear" w:color="auto" w:fill="BCC1CF"/>
            <w:vAlign w:val="center"/>
          </w:tcPr>
          <w:p w14:paraId="3DCBCC86" w14:textId="52CB78DD" w:rsidR="005B35CE" w:rsidRPr="003A00AA" w:rsidRDefault="005B35CE" w:rsidP="00C24453">
            <w:pPr>
              <w:jc w:val="left"/>
              <w:cnfStyle w:val="100000000000" w:firstRow="1" w:lastRow="0" w:firstColumn="0" w:lastColumn="0" w:oddVBand="0" w:evenVBand="0" w:oddHBand="0" w:evenHBand="0" w:firstRowFirstColumn="0" w:firstRowLastColumn="0" w:lastRowFirstColumn="0" w:lastRowLastColumn="0"/>
              <w:rPr>
                <w:sz w:val="18"/>
                <w:szCs w:val="18"/>
              </w:rPr>
            </w:pPr>
            <w:r w:rsidRPr="003A00AA">
              <w:rPr>
                <w:sz w:val="18"/>
                <w:szCs w:val="18"/>
              </w:rPr>
              <w:t>Transferable insights</w:t>
            </w:r>
          </w:p>
        </w:tc>
      </w:tr>
      <w:tr w:rsidR="003D7CBD" w:rsidRPr="003A00AA" w14:paraId="03F172E9" w14:textId="77777777" w:rsidTr="00DC6C64">
        <w:trPr>
          <w:trHeight w:val="4006"/>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06DC8F92" w14:textId="14DCF62A" w:rsidR="005B35CE" w:rsidRPr="003A00AA" w:rsidRDefault="005B35CE" w:rsidP="00C24453">
            <w:pPr>
              <w:jc w:val="left"/>
              <w:rPr>
                <w:rFonts w:cs="Open Sans"/>
                <w:sz w:val="18"/>
                <w:szCs w:val="18"/>
              </w:rPr>
            </w:pPr>
            <w:proofErr w:type="spellStart"/>
            <w:r w:rsidRPr="003A00AA">
              <w:rPr>
                <w:rFonts w:cs="Open Sans"/>
                <w:color w:val="000000"/>
                <w:sz w:val="18"/>
                <w:szCs w:val="18"/>
              </w:rPr>
              <w:t>OERu</w:t>
            </w:r>
            <w:proofErr w:type="spellEnd"/>
            <w:r w:rsidRPr="003A00AA">
              <w:rPr>
                <w:rFonts w:cs="Open Sans"/>
                <w:color w:val="000000"/>
                <w:sz w:val="18"/>
                <w:szCs w:val="18"/>
              </w:rPr>
              <w:t>: Learning in a Digital Age (</w:t>
            </w:r>
            <w:proofErr w:type="spellStart"/>
            <w:r w:rsidRPr="003A00AA">
              <w:rPr>
                <w:rFonts w:cs="Open Sans"/>
                <w:color w:val="000000"/>
                <w:sz w:val="18"/>
                <w:szCs w:val="18"/>
              </w:rPr>
              <w:t>LiDA</w:t>
            </w:r>
            <w:proofErr w:type="spellEnd"/>
            <w:r w:rsidRPr="003A00AA">
              <w:rPr>
                <w:rFonts w:cs="Open Sans"/>
                <w:color w:val="000000"/>
                <w:sz w:val="18"/>
                <w:szCs w:val="18"/>
              </w:rPr>
              <w:t>)</w:t>
            </w:r>
          </w:p>
        </w:tc>
        <w:tc>
          <w:tcPr>
            <w:tcW w:w="5760" w:type="dxa"/>
            <w:vAlign w:val="center"/>
          </w:tcPr>
          <w:p w14:paraId="641D9FE1" w14:textId="77777777" w:rsidR="005B35CE" w:rsidRPr="003A00AA" w:rsidRDefault="005B35CE" w:rsidP="00C24453">
            <w:pPr>
              <w:pStyle w:val="ListParagraph"/>
              <w:numPr>
                <w:ilvl w:val="0"/>
                <w:numId w:val="32"/>
              </w:numPr>
              <w:jc w:val="left"/>
              <w:cnfStyle w:val="000000000000" w:firstRow="0" w:lastRow="0" w:firstColumn="0" w:lastColumn="0" w:oddVBand="0" w:evenVBand="0" w:oddHBand="0" w:evenHBand="0" w:firstRowFirstColumn="0" w:firstRowLastColumn="0" w:lastRowFirstColumn="0" w:lastRowLastColumn="0"/>
              <w:rPr>
                <w:rFonts w:cs="Open Sans"/>
                <w:color w:val="000000"/>
                <w:sz w:val="18"/>
                <w:szCs w:val="18"/>
              </w:rPr>
            </w:pPr>
            <w:r w:rsidRPr="003A00AA">
              <w:rPr>
                <w:rFonts w:cs="Open Sans"/>
                <w:color w:val="000000"/>
                <w:sz w:val="18"/>
                <w:szCs w:val="18"/>
              </w:rPr>
              <w:t>Any translation initiative should be led by the language of adoption (ownership of the language localization), to ensure cultural validity. In this case, to adapt an English version of the course into a multilingual context there needed to be a focus on the French localization and the local insights from the French speaking nations that would use the product. In this instance, this was Canada, Francophone Pacific Islands and Francophone Africa.</w:t>
            </w:r>
            <w:r w:rsidRPr="003A00AA">
              <w:rPr>
                <w:rFonts w:cs="Open Sans"/>
                <w:sz w:val="18"/>
                <w:szCs w:val="18"/>
                <w:vertAlign w:val="superscript"/>
              </w:rPr>
              <w:endnoteReference w:id="14"/>
            </w:r>
          </w:p>
          <w:p w14:paraId="567C91C7" w14:textId="2A679DCE" w:rsidR="003D7CBD" w:rsidRPr="003A00AA" w:rsidRDefault="003D7CBD" w:rsidP="00C24453">
            <w:pPr>
              <w:pStyle w:val="ListParagraph"/>
              <w:numPr>
                <w:ilvl w:val="0"/>
                <w:numId w:val="32"/>
              </w:numPr>
              <w:jc w:val="left"/>
              <w:cnfStyle w:val="000000000000" w:firstRow="0" w:lastRow="0" w:firstColumn="0" w:lastColumn="0" w:oddVBand="0" w:evenVBand="0" w:oddHBand="0" w:evenHBand="0" w:firstRowFirstColumn="0" w:firstRowLastColumn="0" w:lastRowFirstColumn="0" w:lastRowLastColumn="0"/>
              <w:rPr>
                <w:rFonts w:cs="Open Sans"/>
                <w:color w:val="000000"/>
                <w:sz w:val="18"/>
                <w:szCs w:val="18"/>
              </w:rPr>
            </w:pPr>
            <w:r w:rsidRPr="003A00AA">
              <w:rPr>
                <w:rFonts w:cs="Open Sans"/>
                <w:color w:val="000000"/>
                <w:sz w:val="18"/>
                <w:szCs w:val="18"/>
              </w:rPr>
              <w:t xml:space="preserve">There are bi-directional benefits to customizing the delivery platform. The OERF developed new software for the French localization of the ‘Register Enrol’ WordPress plugin with capability to interface with the </w:t>
            </w:r>
            <w:proofErr w:type="spellStart"/>
            <w:r w:rsidRPr="003A00AA">
              <w:rPr>
                <w:rFonts w:cs="Open Sans"/>
                <w:color w:val="000000"/>
                <w:sz w:val="18"/>
                <w:szCs w:val="18"/>
              </w:rPr>
              <w:t>Mautic</w:t>
            </w:r>
            <w:proofErr w:type="spellEnd"/>
            <w:r w:rsidRPr="003A00AA">
              <w:rPr>
                <w:rFonts w:cs="Open Sans"/>
                <w:color w:val="000000"/>
                <w:sz w:val="18"/>
                <w:szCs w:val="18"/>
              </w:rPr>
              <w:t xml:space="preserve"> email plugin that manages campaigns for automatically sending course instructions. Investment in such software localization refinements can facilitate significantly quicker translations to other languages.</w:t>
            </w:r>
          </w:p>
        </w:tc>
      </w:tr>
      <w:tr w:rsidR="003D7CBD" w:rsidRPr="003A00AA" w14:paraId="75184F03" w14:textId="77777777" w:rsidTr="00DC6C64">
        <w:trPr>
          <w:trHeight w:val="1271"/>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60D21289" w14:textId="78FD267A" w:rsidR="003D7CBD" w:rsidRPr="003A00AA" w:rsidRDefault="003D7CBD" w:rsidP="00C24453">
            <w:pPr>
              <w:jc w:val="left"/>
              <w:rPr>
                <w:rFonts w:cs="Open Sans"/>
                <w:sz w:val="18"/>
                <w:szCs w:val="18"/>
              </w:rPr>
            </w:pPr>
            <w:proofErr w:type="spellStart"/>
            <w:r w:rsidRPr="003A00AA">
              <w:rPr>
                <w:rFonts w:cs="Open Sans"/>
                <w:color w:val="000000"/>
                <w:sz w:val="18"/>
                <w:szCs w:val="18"/>
              </w:rPr>
              <w:t>TessIndia</w:t>
            </w:r>
            <w:proofErr w:type="spellEnd"/>
          </w:p>
        </w:tc>
        <w:tc>
          <w:tcPr>
            <w:tcW w:w="5760" w:type="dxa"/>
            <w:vAlign w:val="center"/>
          </w:tcPr>
          <w:p w14:paraId="22BA1121" w14:textId="77777777" w:rsidR="003D7CBD" w:rsidRPr="003A00AA" w:rsidRDefault="003D7CBD" w:rsidP="00C24453">
            <w:pPr>
              <w:pStyle w:val="ListParagraph"/>
              <w:numPr>
                <w:ilvl w:val="0"/>
                <w:numId w:val="32"/>
              </w:numPr>
              <w:jc w:val="left"/>
              <w:cnfStyle w:val="000000000000" w:firstRow="0" w:lastRow="0" w:firstColumn="0" w:lastColumn="0" w:oddVBand="0" w:evenVBand="0" w:oddHBand="0" w:evenHBand="0" w:firstRowFirstColumn="0" w:firstRowLastColumn="0" w:lastRowFirstColumn="0" w:lastRowLastColumn="0"/>
              <w:rPr>
                <w:rFonts w:cs="Open Sans"/>
                <w:color w:val="000000"/>
                <w:sz w:val="18"/>
                <w:szCs w:val="18"/>
                <w:lang w:val="en"/>
              </w:rPr>
            </w:pPr>
            <w:r w:rsidRPr="003A00AA">
              <w:rPr>
                <w:rFonts w:cs="Open Sans"/>
                <w:color w:val="000000"/>
                <w:sz w:val="18"/>
                <w:szCs w:val="18"/>
                <w:lang w:val="en"/>
              </w:rPr>
              <w:t>Align programme objectives with national policy priorities</w:t>
            </w:r>
          </w:p>
          <w:p w14:paraId="4FDE4B98" w14:textId="77777777" w:rsidR="00E43699" w:rsidRPr="003A00AA" w:rsidRDefault="003D7CBD" w:rsidP="00C24453">
            <w:pPr>
              <w:pStyle w:val="ListParagraph"/>
              <w:numPr>
                <w:ilvl w:val="0"/>
                <w:numId w:val="32"/>
              </w:numPr>
              <w:jc w:val="left"/>
              <w:cnfStyle w:val="000000000000" w:firstRow="0" w:lastRow="0" w:firstColumn="0" w:lastColumn="0" w:oddVBand="0" w:evenVBand="0" w:oddHBand="0" w:evenHBand="0" w:firstRowFirstColumn="0" w:firstRowLastColumn="0" w:lastRowFirstColumn="0" w:lastRowLastColumn="0"/>
              <w:rPr>
                <w:rFonts w:cs="Open Sans"/>
                <w:color w:val="000000"/>
                <w:sz w:val="18"/>
                <w:szCs w:val="18"/>
                <w:lang w:val="en"/>
              </w:rPr>
            </w:pPr>
            <w:r w:rsidRPr="003A00AA">
              <w:rPr>
                <w:rFonts w:cs="Open Sans"/>
                <w:color w:val="000000"/>
                <w:sz w:val="18"/>
                <w:szCs w:val="18"/>
                <w:lang w:val="en"/>
              </w:rPr>
              <w:t>Provide adequate support from and collaboration with key policy stakeholders located within national or state structures</w:t>
            </w:r>
          </w:p>
          <w:p w14:paraId="761DECF4" w14:textId="1A2D1DD6" w:rsidR="003D7CBD" w:rsidRPr="003A00AA" w:rsidRDefault="003D7CBD" w:rsidP="00C24453">
            <w:pPr>
              <w:pStyle w:val="ListParagraph"/>
              <w:numPr>
                <w:ilvl w:val="0"/>
                <w:numId w:val="32"/>
              </w:numPr>
              <w:jc w:val="left"/>
              <w:cnfStyle w:val="000000000000" w:firstRow="0" w:lastRow="0" w:firstColumn="0" w:lastColumn="0" w:oddVBand="0" w:evenVBand="0" w:oddHBand="0" w:evenHBand="0" w:firstRowFirstColumn="0" w:firstRowLastColumn="0" w:lastRowFirstColumn="0" w:lastRowLastColumn="0"/>
              <w:rPr>
                <w:rFonts w:cs="Open Sans"/>
                <w:color w:val="000000"/>
                <w:sz w:val="18"/>
                <w:szCs w:val="18"/>
                <w:lang w:val="en"/>
              </w:rPr>
            </w:pPr>
            <w:r w:rsidRPr="003A00AA">
              <w:rPr>
                <w:rFonts w:cs="Open Sans"/>
                <w:color w:val="000000"/>
                <w:sz w:val="18"/>
                <w:szCs w:val="18"/>
                <w:lang w:val="en"/>
              </w:rPr>
              <w:t xml:space="preserve">Emphasize collaborative </w:t>
            </w:r>
            <w:proofErr w:type="spellStart"/>
            <w:r w:rsidRPr="003A00AA">
              <w:rPr>
                <w:rFonts w:cs="Open Sans"/>
                <w:color w:val="000000"/>
                <w:sz w:val="18"/>
                <w:szCs w:val="18"/>
                <w:lang w:val="en"/>
              </w:rPr>
              <w:t>localisation</w:t>
            </w:r>
            <w:proofErr w:type="spellEnd"/>
            <w:r w:rsidRPr="003A00AA">
              <w:rPr>
                <w:rFonts w:cs="Open Sans"/>
                <w:color w:val="000000"/>
                <w:sz w:val="18"/>
                <w:szCs w:val="18"/>
                <w:lang w:val="en"/>
              </w:rPr>
              <w:t xml:space="preserve"> approaches to make educational resources contextually relevant.</w:t>
            </w:r>
          </w:p>
        </w:tc>
      </w:tr>
      <w:tr w:rsidR="003D7CBD" w:rsidRPr="003A00AA" w14:paraId="715F7191" w14:textId="77777777" w:rsidTr="00DC6C64">
        <w:trPr>
          <w:trHeight w:val="1842"/>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409C2864" w14:textId="3EAA3782" w:rsidR="003D7CBD" w:rsidRPr="003A00AA" w:rsidRDefault="003D7CBD" w:rsidP="00C24453">
            <w:pPr>
              <w:jc w:val="left"/>
              <w:rPr>
                <w:rFonts w:cs="Open Sans"/>
                <w:sz w:val="18"/>
                <w:szCs w:val="18"/>
              </w:rPr>
            </w:pPr>
            <w:r w:rsidRPr="003A00AA">
              <w:rPr>
                <w:rFonts w:cs="Open Sans"/>
                <w:color w:val="000000"/>
                <w:sz w:val="18"/>
                <w:szCs w:val="18"/>
              </w:rPr>
              <w:t>OER@AVU</w:t>
            </w:r>
          </w:p>
        </w:tc>
        <w:tc>
          <w:tcPr>
            <w:tcW w:w="5760" w:type="dxa"/>
            <w:vAlign w:val="center"/>
          </w:tcPr>
          <w:p w14:paraId="7A8C03C7" w14:textId="77777777" w:rsidR="00E43699" w:rsidRPr="003A00AA" w:rsidRDefault="003D7CBD" w:rsidP="00C24453">
            <w:pPr>
              <w:pStyle w:val="ListParagraph"/>
              <w:numPr>
                <w:ilvl w:val="0"/>
                <w:numId w:val="33"/>
              </w:numPr>
              <w:jc w:val="left"/>
              <w:cnfStyle w:val="000000000000" w:firstRow="0" w:lastRow="0" w:firstColumn="0" w:lastColumn="0" w:oddVBand="0" w:evenVBand="0" w:oddHBand="0" w:evenHBand="0" w:firstRowFirstColumn="0" w:firstRowLastColumn="0" w:lastRowFirstColumn="0" w:lastRowLastColumn="0"/>
              <w:rPr>
                <w:rFonts w:cs="Open Sans"/>
                <w:color w:val="000000"/>
                <w:sz w:val="18"/>
                <w:szCs w:val="18"/>
                <w:lang w:val="en-GB"/>
              </w:rPr>
            </w:pPr>
            <w:r w:rsidRPr="003A00AA">
              <w:rPr>
                <w:rFonts w:cs="Open Sans"/>
                <w:color w:val="000000"/>
                <w:sz w:val="18"/>
                <w:szCs w:val="18"/>
                <w:lang w:val="en-GB"/>
              </w:rPr>
              <w:t>Support OER discoverability and localization through tools that enable content use across regional and institutional borders</w:t>
            </w:r>
          </w:p>
          <w:p w14:paraId="41C6595F" w14:textId="62AF4F8F" w:rsidR="003D7CBD" w:rsidRPr="003A00AA" w:rsidRDefault="003D7CBD" w:rsidP="00C24453">
            <w:pPr>
              <w:pStyle w:val="ListParagraph"/>
              <w:numPr>
                <w:ilvl w:val="0"/>
                <w:numId w:val="33"/>
              </w:numPr>
              <w:jc w:val="left"/>
              <w:cnfStyle w:val="000000000000" w:firstRow="0" w:lastRow="0" w:firstColumn="0" w:lastColumn="0" w:oddVBand="0" w:evenVBand="0" w:oddHBand="0" w:evenHBand="0" w:firstRowFirstColumn="0" w:firstRowLastColumn="0" w:lastRowFirstColumn="0" w:lastRowLastColumn="0"/>
              <w:rPr>
                <w:rFonts w:cs="Open Sans"/>
                <w:color w:val="000000"/>
                <w:sz w:val="18"/>
                <w:szCs w:val="18"/>
                <w:lang w:val="en-GB"/>
              </w:rPr>
            </w:pPr>
            <w:r w:rsidRPr="003A00AA">
              <w:rPr>
                <w:rFonts w:cs="Open Sans"/>
                <w:color w:val="000000"/>
                <w:sz w:val="18"/>
                <w:szCs w:val="18"/>
                <w:lang w:val="en-GB"/>
              </w:rPr>
              <w:t>Adopt a systems-based approach to the creation, sharing, and use of OER that leverages multiple communities — from state and campus administrators, to instructors, to library staff, to students themselves.</w:t>
            </w:r>
          </w:p>
        </w:tc>
      </w:tr>
      <w:tr w:rsidR="003D7CBD" w:rsidRPr="003A00AA" w14:paraId="5DD78522" w14:textId="77777777" w:rsidTr="00C24453">
        <w:tc>
          <w:tcPr>
            <w:cnfStyle w:val="001000000000" w:firstRow="0" w:lastRow="0" w:firstColumn="1" w:lastColumn="0" w:oddVBand="0" w:evenVBand="0" w:oddHBand="0" w:evenHBand="0" w:firstRowFirstColumn="0" w:firstRowLastColumn="0" w:lastRowFirstColumn="0" w:lastRowLastColumn="0"/>
            <w:tcW w:w="3256" w:type="dxa"/>
            <w:vAlign w:val="center"/>
          </w:tcPr>
          <w:p w14:paraId="7594C2A1" w14:textId="687A531D" w:rsidR="003D7CBD" w:rsidRPr="003A00AA" w:rsidRDefault="003D7CBD" w:rsidP="00C24453">
            <w:pPr>
              <w:jc w:val="left"/>
              <w:rPr>
                <w:rFonts w:cs="Open Sans"/>
                <w:sz w:val="18"/>
                <w:szCs w:val="18"/>
              </w:rPr>
            </w:pPr>
            <w:r w:rsidRPr="003A00AA">
              <w:rPr>
                <w:rFonts w:cs="Open Sans"/>
                <w:color w:val="000000"/>
                <w:sz w:val="18"/>
                <w:szCs w:val="18"/>
              </w:rPr>
              <w:t>African Storybook</w:t>
            </w:r>
          </w:p>
        </w:tc>
        <w:tc>
          <w:tcPr>
            <w:tcW w:w="5760" w:type="dxa"/>
            <w:vAlign w:val="center"/>
          </w:tcPr>
          <w:p w14:paraId="678E7DA8" w14:textId="630A6546" w:rsidR="00E43699" w:rsidRPr="003A00AA" w:rsidRDefault="00122F92" w:rsidP="00C24453">
            <w:pPr>
              <w:pStyle w:val="ListParagraph"/>
              <w:numPr>
                <w:ilvl w:val="0"/>
                <w:numId w:val="34"/>
              </w:numPr>
              <w:jc w:val="left"/>
              <w:cnfStyle w:val="000000000000" w:firstRow="0" w:lastRow="0" w:firstColumn="0" w:lastColumn="0" w:oddVBand="0" w:evenVBand="0" w:oddHBand="0" w:evenHBand="0" w:firstRowFirstColumn="0" w:firstRowLastColumn="0" w:lastRowFirstColumn="0" w:lastRowLastColumn="0"/>
              <w:rPr>
                <w:rFonts w:cs="Open Sans"/>
                <w:color w:val="000000"/>
                <w:sz w:val="18"/>
                <w:szCs w:val="18"/>
                <w:lang w:val="en-GB"/>
              </w:rPr>
            </w:pPr>
            <w:r w:rsidRPr="003A00AA">
              <w:rPr>
                <w:rFonts w:cs="Open Sans"/>
                <w:color w:val="000000" w:themeColor="text1"/>
                <w:sz w:val="18"/>
                <w:szCs w:val="18"/>
                <w:lang w:val="en-GB"/>
              </w:rPr>
              <w:t>One can adapt and deploy w</w:t>
            </w:r>
            <w:r w:rsidR="003D7CBD" w:rsidRPr="003A00AA">
              <w:rPr>
                <w:rFonts w:cs="Open Sans"/>
                <w:color w:val="000000" w:themeColor="text1"/>
                <w:sz w:val="18"/>
                <w:szCs w:val="18"/>
                <w:lang w:val="en-GB"/>
              </w:rPr>
              <w:t>ebsite tools such as the African Storybook Maker and the Reader in different languages and contexts. Most of the storybooks are in English, allowing them to be used in several contexts to teach a second language or improve English reading skills.</w:t>
            </w:r>
          </w:p>
          <w:p w14:paraId="6FE732F4" w14:textId="77777777" w:rsidR="003D7CBD" w:rsidRPr="003A00AA" w:rsidRDefault="00293B75" w:rsidP="00C24453">
            <w:pPr>
              <w:pStyle w:val="ListParagraph"/>
              <w:numPr>
                <w:ilvl w:val="0"/>
                <w:numId w:val="34"/>
              </w:numPr>
              <w:jc w:val="left"/>
              <w:cnfStyle w:val="000000000000" w:firstRow="0" w:lastRow="0" w:firstColumn="0" w:lastColumn="0" w:oddVBand="0" w:evenVBand="0" w:oddHBand="0" w:evenHBand="0" w:firstRowFirstColumn="0" w:firstRowLastColumn="0" w:lastRowFirstColumn="0" w:lastRowLastColumn="0"/>
              <w:rPr>
                <w:rFonts w:cs="Open Sans"/>
                <w:color w:val="000000"/>
                <w:sz w:val="18"/>
                <w:szCs w:val="18"/>
                <w:lang w:val="en-GB"/>
              </w:rPr>
            </w:pPr>
            <w:r w:rsidRPr="003A00AA">
              <w:rPr>
                <w:rFonts w:cs="Open Sans"/>
                <w:color w:val="000000" w:themeColor="text1"/>
                <w:sz w:val="18"/>
                <w:szCs w:val="18"/>
                <w:lang w:val="en-GB"/>
              </w:rPr>
              <w:t>Use</w:t>
            </w:r>
            <w:r w:rsidR="003D7CBD" w:rsidRPr="003A00AA">
              <w:rPr>
                <w:rFonts w:cs="Open Sans"/>
                <w:color w:val="000000" w:themeColor="text1"/>
                <w:sz w:val="18"/>
                <w:szCs w:val="18"/>
                <w:lang w:val="en-GB"/>
              </w:rPr>
              <w:t xml:space="preserve"> frameworks for the Storybook Maker</w:t>
            </w:r>
            <w:r w:rsidRPr="003A00AA">
              <w:rPr>
                <w:rFonts w:cs="Open Sans"/>
                <w:color w:val="000000" w:themeColor="text1"/>
                <w:sz w:val="18"/>
                <w:szCs w:val="18"/>
                <w:lang w:val="en-GB"/>
              </w:rPr>
              <w:t>, which</w:t>
            </w:r>
            <w:r w:rsidR="003D7CBD" w:rsidRPr="003A00AA">
              <w:rPr>
                <w:rFonts w:cs="Open Sans"/>
                <w:color w:val="000000" w:themeColor="text1"/>
                <w:sz w:val="18"/>
                <w:szCs w:val="18"/>
                <w:lang w:val="en-GB"/>
              </w:rPr>
              <w:t xml:space="preserve"> are universal and not attached to a particular pedagogical or theoretical framework. This characteristic enables the easy adaptation of the tool to other educational contexts and levels.</w:t>
            </w:r>
          </w:p>
          <w:p w14:paraId="66FB9D89" w14:textId="1DEB88AE" w:rsidR="00B2111E" w:rsidRPr="003A00AA" w:rsidRDefault="00B2111E" w:rsidP="00B2111E">
            <w:pPr>
              <w:jc w:val="left"/>
              <w:cnfStyle w:val="000000000000" w:firstRow="0" w:lastRow="0" w:firstColumn="0" w:lastColumn="0" w:oddVBand="0" w:evenVBand="0" w:oddHBand="0" w:evenHBand="0" w:firstRowFirstColumn="0" w:firstRowLastColumn="0" w:lastRowFirstColumn="0" w:lastRowLastColumn="0"/>
              <w:rPr>
                <w:rFonts w:cs="Open Sans"/>
                <w:color w:val="000000"/>
                <w:sz w:val="18"/>
                <w:szCs w:val="18"/>
                <w:lang w:val="en-GB"/>
              </w:rPr>
            </w:pPr>
          </w:p>
        </w:tc>
      </w:tr>
      <w:tr w:rsidR="003D7CBD" w:rsidRPr="003A00AA" w14:paraId="34C7186D" w14:textId="77777777" w:rsidTr="00B2111E">
        <w:trPr>
          <w:trHeight w:val="1823"/>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301B4690" w14:textId="48B220E1" w:rsidR="003D7CBD" w:rsidRPr="003B0D2F" w:rsidRDefault="003D7CBD" w:rsidP="00C24453">
            <w:pPr>
              <w:jc w:val="left"/>
              <w:rPr>
                <w:rFonts w:cs="Open Sans"/>
                <w:sz w:val="18"/>
                <w:szCs w:val="18"/>
              </w:rPr>
            </w:pPr>
            <w:r w:rsidRPr="003A00AA">
              <w:rPr>
                <w:rFonts w:cs="Open Sans"/>
                <w:color w:val="000000"/>
                <w:sz w:val="18"/>
                <w:szCs w:val="18"/>
              </w:rPr>
              <w:lastRenderedPageBreak/>
              <w:t>Zero Textbook Cost Degrees (aka: Z Degrees, OER Degrees, Zed Creds)</w:t>
            </w:r>
          </w:p>
        </w:tc>
        <w:tc>
          <w:tcPr>
            <w:tcW w:w="5760" w:type="dxa"/>
            <w:vAlign w:val="center"/>
          </w:tcPr>
          <w:p w14:paraId="16F49C73" w14:textId="77777777" w:rsidR="00E43699" w:rsidRPr="003A00AA" w:rsidRDefault="003D7CBD" w:rsidP="00C24453">
            <w:pPr>
              <w:pStyle w:val="ListParagraph"/>
              <w:numPr>
                <w:ilvl w:val="0"/>
                <w:numId w:val="35"/>
              </w:numPr>
              <w:jc w:val="left"/>
              <w:cnfStyle w:val="000000000000" w:firstRow="0" w:lastRow="0" w:firstColumn="0" w:lastColumn="0" w:oddVBand="0" w:evenVBand="0" w:oddHBand="0" w:evenHBand="0" w:firstRowFirstColumn="0" w:firstRowLastColumn="0" w:lastRowFirstColumn="0" w:lastRowLastColumn="0"/>
              <w:rPr>
                <w:rFonts w:cs="Open Sans"/>
                <w:color w:val="000000"/>
                <w:sz w:val="18"/>
                <w:szCs w:val="18"/>
                <w:lang w:val="en-GB"/>
              </w:rPr>
            </w:pPr>
            <w:r w:rsidRPr="003A00AA">
              <w:rPr>
                <w:rFonts w:cs="Open Sans"/>
                <w:color w:val="000000"/>
                <w:sz w:val="18"/>
                <w:szCs w:val="18"/>
                <w:lang w:val="en-GB"/>
              </w:rPr>
              <w:t>The benefits of OER Degrees are applicable in any context where college students are expected to pay for instructional materials.</w:t>
            </w:r>
          </w:p>
          <w:p w14:paraId="216EDAA8" w14:textId="1603482D" w:rsidR="003D7CBD" w:rsidRPr="003A00AA" w:rsidRDefault="003D7CBD" w:rsidP="00C24453">
            <w:pPr>
              <w:pStyle w:val="ListParagraph"/>
              <w:numPr>
                <w:ilvl w:val="0"/>
                <w:numId w:val="35"/>
              </w:numPr>
              <w:jc w:val="left"/>
              <w:cnfStyle w:val="000000000000" w:firstRow="0" w:lastRow="0" w:firstColumn="0" w:lastColumn="0" w:oddVBand="0" w:evenVBand="0" w:oddHBand="0" w:evenHBand="0" w:firstRowFirstColumn="0" w:firstRowLastColumn="0" w:lastRowFirstColumn="0" w:lastRowLastColumn="0"/>
              <w:rPr>
                <w:rFonts w:cs="Open Sans"/>
                <w:color w:val="000000"/>
                <w:sz w:val="18"/>
                <w:szCs w:val="18"/>
                <w:lang w:val="en-GB"/>
              </w:rPr>
            </w:pPr>
            <w:r w:rsidRPr="003A00AA">
              <w:rPr>
                <w:rFonts w:cs="Open Sans"/>
                <w:color w:val="000000"/>
                <w:sz w:val="18"/>
                <w:szCs w:val="18"/>
                <w:lang w:val="en-GB"/>
              </w:rPr>
              <w:t>Consider the use of OER Degrees in all postsecondary education contexts throughout the world – both in contexts where cost is a key factor and those where cost is not the driving factor</w:t>
            </w:r>
          </w:p>
        </w:tc>
      </w:tr>
      <w:tr w:rsidR="003D7CBD" w:rsidRPr="003A00AA" w14:paraId="4238E828" w14:textId="77777777" w:rsidTr="00B2111E">
        <w:trPr>
          <w:trHeight w:val="2118"/>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5500ECAE" w14:textId="62DC1EAD" w:rsidR="003D7CBD" w:rsidRPr="003A00AA" w:rsidRDefault="003D7CBD" w:rsidP="00C24453">
            <w:pPr>
              <w:jc w:val="left"/>
              <w:rPr>
                <w:rFonts w:cs="Open Sans"/>
                <w:sz w:val="18"/>
                <w:szCs w:val="18"/>
              </w:rPr>
            </w:pPr>
            <w:r w:rsidRPr="003A00AA">
              <w:rPr>
                <w:rFonts w:cs="Open Sans"/>
                <w:color w:val="000000"/>
                <w:sz w:val="18"/>
                <w:szCs w:val="18"/>
              </w:rPr>
              <w:t>Trade Adjustment Assistance Community College and Career Training (TAACCCT)</w:t>
            </w:r>
          </w:p>
        </w:tc>
        <w:tc>
          <w:tcPr>
            <w:tcW w:w="5760" w:type="dxa"/>
            <w:vAlign w:val="center"/>
          </w:tcPr>
          <w:p w14:paraId="3311D1A3" w14:textId="77777777" w:rsidR="00E43699" w:rsidRPr="003A00AA" w:rsidRDefault="003D7CBD" w:rsidP="00C24453">
            <w:pPr>
              <w:pStyle w:val="ListParagraph"/>
              <w:numPr>
                <w:ilvl w:val="0"/>
                <w:numId w:val="36"/>
              </w:numPr>
              <w:jc w:val="left"/>
              <w:cnfStyle w:val="000000000000" w:firstRow="0" w:lastRow="0" w:firstColumn="0" w:lastColumn="0" w:oddVBand="0" w:evenVBand="0" w:oddHBand="0" w:evenHBand="0" w:firstRowFirstColumn="0" w:firstRowLastColumn="0" w:lastRowFirstColumn="0" w:lastRowLastColumn="0"/>
              <w:rPr>
                <w:rFonts w:cs="Open Sans"/>
                <w:color w:val="000000"/>
                <w:sz w:val="18"/>
                <w:szCs w:val="18"/>
              </w:rPr>
            </w:pPr>
            <w:r w:rsidRPr="003A00AA">
              <w:rPr>
                <w:rFonts w:cs="Open Sans"/>
                <w:color w:val="000000"/>
                <w:sz w:val="18"/>
                <w:szCs w:val="18"/>
              </w:rPr>
              <w:t>Translation into the users’ native language is very important. MERLOT provides Google Translation and has used UTF8 in coding the application so the user can type in any language and it will be correctly represented in the library.</w:t>
            </w:r>
          </w:p>
          <w:p w14:paraId="1F84BC4F" w14:textId="7E5F8F85" w:rsidR="003D7CBD" w:rsidRPr="003A00AA" w:rsidRDefault="003D7CBD" w:rsidP="00C24453">
            <w:pPr>
              <w:pStyle w:val="ListParagraph"/>
              <w:numPr>
                <w:ilvl w:val="0"/>
                <w:numId w:val="36"/>
              </w:numPr>
              <w:jc w:val="left"/>
              <w:cnfStyle w:val="000000000000" w:firstRow="0" w:lastRow="0" w:firstColumn="0" w:lastColumn="0" w:oddVBand="0" w:evenVBand="0" w:oddHBand="0" w:evenHBand="0" w:firstRowFirstColumn="0" w:firstRowLastColumn="0" w:lastRowFirstColumn="0" w:lastRowLastColumn="0"/>
              <w:rPr>
                <w:rFonts w:cs="Open Sans"/>
                <w:color w:val="000000"/>
                <w:sz w:val="18"/>
                <w:szCs w:val="18"/>
              </w:rPr>
            </w:pPr>
            <w:r w:rsidRPr="003A00AA">
              <w:rPr>
                <w:rFonts w:cs="Open Sans"/>
                <w:color w:val="000000"/>
                <w:sz w:val="18"/>
                <w:szCs w:val="18"/>
              </w:rPr>
              <w:t>When governments require publicly funded educational resources to be openly licensed, the reuse of those OER are significantly larger than if the resources were not openly shared.</w:t>
            </w:r>
          </w:p>
        </w:tc>
      </w:tr>
      <w:tr w:rsidR="003D7CBD" w:rsidRPr="003A00AA" w14:paraId="433EC325" w14:textId="77777777" w:rsidTr="00B2111E">
        <w:trPr>
          <w:trHeight w:val="3395"/>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1C2F2EFC" w14:textId="1CBDC06D" w:rsidR="003D7CBD" w:rsidRPr="003A00AA" w:rsidRDefault="003D7CBD" w:rsidP="00C24453">
            <w:pPr>
              <w:jc w:val="left"/>
              <w:rPr>
                <w:rFonts w:cs="Open Sans"/>
                <w:sz w:val="18"/>
                <w:szCs w:val="18"/>
              </w:rPr>
            </w:pPr>
            <w:r w:rsidRPr="003A00AA">
              <w:rPr>
                <w:rFonts w:cs="Open Sans"/>
                <w:color w:val="000000"/>
                <w:sz w:val="18"/>
                <w:szCs w:val="18"/>
              </w:rPr>
              <w:t>Harnessing OER Practices to Drive Pedagogical Improvement: The Role of Continuing Professional Development</w:t>
            </w:r>
          </w:p>
        </w:tc>
        <w:tc>
          <w:tcPr>
            <w:tcW w:w="5760" w:type="dxa"/>
            <w:vAlign w:val="center"/>
          </w:tcPr>
          <w:p w14:paraId="368BDB0F" w14:textId="77777777" w:rsidR="003D7CBD" w:rsidRPr="003A00AA" w:rsidRDefault="003D7CBD" w:rsidP="00C24453">
            <w:pPr>
              <w:pStyle w:val="ListParagraph"/>
              <w:numPr>
                <w:ilvl w:val="0"/>
                <w:numId w:val="37"/>
              </w:numPr>
              <w:jc w:val="left"/>
              <w:cnfStyle w:val="000000000000" w:firstRow="0" w:lastRow="0" w:firstColumn="0" w:lastColumn="0" w:oddVBand="0" w:evenVBand="0" w:oddHBand="0" w:evenHBand="0" w:firstRowFirstColumn="0" w:firstRowLastColumn="0" w:lastRowFirstColumn="0" w:lastRowLastColumn="0"/>
              <w:rPr>
                <w:rFonts w:cs="Open Sans"/>
                <w:color w:val="000000"/>
                <w:sz w:val="18"/>
                <w:szCs w:val="18"/>
              </w:rPr>
            </w:pPr>
            <w:r w:rsidRPr="003A00AA">
              <w:rPr>
                <w:rFonts w:cs="Open Sans"/>
                <w:color w:val="000000"/>
                <w:sz w:val="18"/>
                <w:szCs w:val="18"/>
              </w:rPr>
              <w:t>Consider the context within which CPD occurs as these factors could be external to CPD but affect it, such as duration of contracts, technological equipment, and facilities.</w:t>
            </w:r>
          </w:p>
          <w:p w14:paraId="2E5F908A" w14:textId="77777777" w:rsidR="003D7CBD" w:rsidRPr="003A00AA" w:rsidRDefault="003D7CBD" w:rsidP="00C24453">
            <w:pPr>
              <w:pStyle w:val="ListParagraph"/>
              <w:numPr>
                <w:ilvl w:val="0"/>
                <w:numId w:val="37"/>
              </w:numPr>
              <w:jc w:val="left"/>
              <w:cnfStyle w:val="000000000000" w:firstRow="0" w:lastRow="0" w:firstColumn="0" w:lastColumn="0" w:oddVBand="0" w:evenVBand="0" w:oddHBand="0" w:evenHBand="0" w:firstRowFirstColumn="0" w:firstRowLastColumn="0" w:lastRowFirstColumn="0" w:lastRowLastColumn="0"/>
              <w:rPr>
                <w:rFonts w:cs="Open Sans"/>
                <w:color w:val="000000"/>
                <w:sz w:val="18"/>
                <w:szCs w:val="18"/>
              </w:rPr>
            </w:pPr>
            <w:r w:rsidRPr="003A00AA">
              <w:rPr>
                <w:rFonts w:cs="Open Sans"/>
                <w:color w:val="000000"/>
                <w:sz w:val="18"/>
                <w:szCs w:val="18"/>
              </w:rPr>
              <w:t>Consider measures to align the level of CPD participants, such as ensuring that previous knowledge and skills are bolstered for those in need before starting any new learning path.</w:t>
            </w:r>
          </w:p>
          <w:p w14:paraId="2338B98E" w14:textId="77777777" w:rsidR="003D7CBD" w:rsidRPr="003A00AA" w:rsidRDefault="003D7CBD" w:rsidP="00C24453">
            <w:pPr>
              <w:pStyle w:val="ListParagraph"/>
              <w:numPr>
                <w:ilvl w:val="0"/>
                <w:numId w:val="37"/>
              </w:numPr>
              <w:jc w:val="left"/>
              <w:cnfStyle w:val="000000000000" w:firstRow="0" w:lastRow="0" w:firstColumn="0" w:lastColumn="0" w:oddVBand="0" w:evenVBand="0" w:oddHBand="0" w:evenHBand="0" w:firstRowFirstColumn="0" w:firstRowLastColumn="0" w:lastRowFirstColumn="0" w:lastRowLastColumn="0"/>
              <w:rPr>
                <w:rFonts w:cs="Open Sans"/>
                <w:color w:val="000000"/>
                <w:sz w:val="18"/>
                <w:szCs w:val="18"/>
              </w:rPr>
            </w:pPr>
            <w:r w:rsidRPr="003A00AA">
              <w:rPr>
                <w:rFonts w:cs="Open Sans"/>
                <w:color w:val="000000"/>
                <w:sz w:val="18"/>
                <w:szCs w:val="18"/>
              </w:rPr>
              <w:t>Ensure that career paths build on both research and teaching results.</w:t>
            </w:r>
          </w:p>
          <w:p w14:paraId="75FBD7CC" w14:textId="77777777" w:rsidR="00E43699" w:rsidRPr="003A00AA" w:rsidRDefault="003D7CBD" w:rsidP="00C24453">
            <w:pPr>
              <w:pStyle w:val="ListParagraph"/>
              <w:numPr>
                <w:ilvl w:val="0"/>
                <w:numId w:val="37"/>
              </w:numPr>
              <w:jc w:val="left"/>
              <w:cnfStyle w:val="000000000000" w:firstRow="0" w:lastRow="0" w:firstColumn="0" w:lastColumn="0" w:oddVBand="0" w:evenVBand="0" w:oddHBand="0" w:evenHBand="0" w:firstRowFirstColumn="0" w:firstRowLastColumn="0" w:lastRowFirstColumn="0" w:lastRowLastColumn="0"/>
              <w:rPr>
                <w:rFonts w:cs="Open Sans"/>
                <w:color w:val="000000"/>
                <w:sz w:val="18"/>
                <w:szCs w:val="18"/>
              </w:rPr>
            </w:pPr>
            <w:r w:rsidRPr="003A00AA">
              <w:rPr>
                <w:rFonts w:cs="Open Sans"/>
                <w:color w:val="000000"/>
                <w:sz w:val="18"/>
                <w:szCs w:val="18"/>
              </w:rPr>
              <w:t>Adopt open approaches and flexible facilitation, together with careful planning and quality checks.</w:t>
            </w:r>
          </w:p>
          <w:p w14:paraId="592A34F7" w14:textId="16DB4BE9" w:rsidR="003D7CBD" w:rsidRPr="003A00AA" w:rsidRDefault="003D7CBD" w:rsidP="00C24453">
            <w:pPr>
              <w:pStyle w:val="ListParagraph"/>
              <w:numPr>
                <w:ilvl w:val="0"/>
                <w:numId w:val="37"/>
              </w:numPr>
              <w:jc w:val="left"/>
              <w:cnfStyle w:val="000000000000" w:firstRow="0" w:lastRow="0" w:firstColumn="0" w:lastColumn="0" w:oddVBand="0" w:evenVBand="0" w:oddHBand="0" w:evenHBand="0" w:firstRowFirstColumn="0" w:firstRowLastColumn="0" w:lastRowFirstColumn="0" w:lastRowLastColumn="0"/>
              <w:rPr>
                <w:rFonts w:cs="Open Sans"/>
                <w:color w:val="000000"/>
                <w:sz w:val="18"/>
                <w:szCs w:val="18"/>
              </w:rPr>
            </w:pPr>
            <w:r w:rsidRPr="003A00AA">
              <w:rPr>
                <w:rFonts w:cs="Open Sans"/>
                <w:color w:val="000000"/>
                <w:sz w:val="18"/>
                <w:szCs w:val="18"/>
              </w:rPr>
              <w:t>Where relevant, prioritise scalability and develop granular resources to address different levels of involvement, accounting for the particularities of each context.</w:t>
            </w:r>
          </w:p>
        </w:tc>
      </w:tr>
    </w:tbl>
    <w:p w14:paraId="1C6D7BAD" w14:textId="4FD05C23" w:rsidR="00A57031" w:rsidRDefault="00A57031" w:rsidP="00A57031">
      <w:pPr>
        <w:pStyle w:val="Heading2"/>
      </w:pPr>
      <w:r>
        <w:t>Key takeaways</w:t>
      </w:r>
    </w:p>
    <w:p w14:paraId="612A30A3" w14:textId="77777777" w:rsidR="009464E1" w:rsidRPr="009464E1" w:rsidRDefault="009464E1" w:rsidP="009464E1">
      <w:r w:rsidRPr="009464E1">
        <w:t>Ultimately, this project provided valuable insights into the impact that OER-related initiatives have had on access to education, learner outcomes, costs, and CPD. Although the sample is small relative to the number of OER initiatives globally, it highlights the importance of reflecting on such initiatives across different contexts, learning from them, drawing comparisons, and moving OER-related practices forward by implementing lessons. With this in mind, a set of key takeaways across the sample are presented below.</w:t>
      </w:r>
    </w:p>
    <w:p w14:paraId="2A98C2D2" w14:textId="3BC9F216" w:rsidR="009464E1" w:rsidRPr="009464E1" w:rsidRDefault="009464E1" w:rsidP="009464E1">
      <w:pPr>
        <w:numPr>
          <w:ilvl w:val="0"/>
          <w:numId w:val="38"/>
        </w:numPr>
        <w:rPr>
          <w:lang w:val="en-GB"/>
        </w:rPr>
      </w:pPr>
      <w:r w:rsidRPr="009464E1">
        <w:rPr>
          <w:lang w:val="en-GB"/>
        </w:rPr>
        <w:t xml:space="preserve">Initiatives have experienced notable successes in increasing access to education and educational materials by </w:t>
      </w:r>
      <w:r w:rsidRPr="735A55BF">
        <w:rPr>
          <w:b/>
          <w:lang w:val="en-GB"/>
        </w:rPr>
        <w:t>creating new materials and/or reusing and adapting them</w:t>
      </w:r>
      <w:r w:rsidRPr="009464E1">
        <w:rPr>
          <w:lang w:val="en-GB"/>
        </w:rPr>
        <w:t>.</w:t>
      </w:r>
    </w:p>
    <w:p w14:paraId="4176B174" w14:textId="77777777" w:rsidR="009464E1" w:rsidRPr="009464E1" w:rsidRDefault="009464E1" w:rsidP="009464E1">
      <w:pPr>
        <w:numPr>
          <w:ilvl w:val="0"/>
          <w:numId w:val="38"/>
        </w:numPr>
        <w:rPr>
          <w:lang w:val="en-GB"/>
        </w:rPr>
      </w:pPr>
      <w:r w:rsidRPr="009464E1">
        <w:rPr>
          <w:lang w:val="en-GB"/>
        </w:rPr>
        <w:t xml:space="preserve">There was also evidence of initiatives enabling CPD and skills development, with some managing to do so at scale. This included </w:t>
      </w:r>
      <w:r w:rsidRPr="00171FF3">
        <w:rPr>
          <w:b/>
          <w:bCs/>
          <w:lang w:val="en-GB"/>
        </w:rPr>
        <w:t>providing research on CPD and areas for improvement, together with skills development interventions</w:t>
      </w:r>
      <w:r w:rsidRPr="009464E1">
        <w:rPr>
          <w:lang w:val="en-GB"/>
        </w:rPr>
        <w:t xml:space="preserve"> themselves.</w:t>
      </w:r>
    </w:p>
    <w:p w14:paraId="01828DB4" w14:textId="77777777" w:rsidR="009464E1" w:rsidRPr="009464E1" w:rsidRDefault="009464E1" w:rsidP="009464E1">
      <w:pPr>
        <w:numPr>
          <w:ilvl w:val="0"/>
          <w:numId w:val="38"/>
        </w:numPr>
        <w:rPr>
          <w:lang w:val="en-GB"/>
        </w:rPr>
      </w:pPr>
      <w:r w:rsidRPr="009464E1">
        <w:rPr>
          <w:lang w:val="en-GB"/>
        </w:rPr>
        <w:t xml:space="preserve">Regarding learner outcomes, some initiatives demonstrated increased retention rates, increased pass and graduation rates, and an increased rate of employment amongst students. This highlights a requirement to </w:t>
      </w:r>
      <w:r w:rsidRPr="00171FF3">
        <w:rPr>
          <w:b/>
          <w:bCs/>
          <w:lang w:val="en-GB"/>
        </w:rPr>
        <w:t>study the impact of OER on learner outcomes more comprehensively, particularly regarding their influence on different sub-sets of society</w:t>
      </w:r>
      <w:r w:rsidRPr="009464E1">
        <w:rPr>
          <w:lang w:val="en-GB"/>
        </w:rPr>
        <w:t xml:space="preserve">. Because this evidence focussed on the global north, comparative </w:t>
      </w:r>
      <w:r w:rsidRPr="00171FF3">
        <w:rPr>
          <w:b/>
          <w:bCs/>
          <w:lang w:val="en-GB"/>
        </w:rPr>
        <w:t>research on the impact of similar programmes on learner outcomes for those in the global south might yield beneficial insights</w:t>
      </w:r>
      <w:r w:rsidRPr="009464E1">
        <w:rPr>
          <w:lang w:val="en-GB"/>
        </w:rPr>
        <w:t>.</w:t>
      </w:r>
    </w:p>
    <w:p w14:paraId="0882EEB6" w14:textId="77777777" w:rsidR="009464E1" w:rsidRPr="009464E1" w:rsidRDefault="009464E1" w:rsidP="009464E1">
      <w:pPr>
        <w:numPr>
          <w:ilvl w:val="0"/>
          <w:numId w:val="38"/>
        </w:numPr>
      </w:pPr>
      <w:r w:rsidRPr="009464E1">
        <w:rPr>
          <w:lang w:val="en-GB"/>
        </w:rPr>
        <w:lastRenderedPageBreak/>
        <w:t xml:space="preserve">Cost savings have been experienced by institutions and students. The </w:t>
      </w:r>
      <w:r w:rsidRPr="0031787F">
        <w:rPr>
          <w:b/>
          <w:bCs/>
          <w:lang w:val="en-GB"/>
        </w:rPr>
        <w:t>cost savings that such initiatives have propagated mean that students no longer need to carry the financial burden of paying for expensive educational materials</w:t>
      </w:r>
      <w:r w:rsidRPr="009464E1">
        <w:rPr>
          <w:lang w:val="en-GB"/>
        </w:rPr>
        <w:t>, making quality education more accessible for students.</w:t>
      </w:r>
    </w:p>
    <w:p w14:paraId="220C7810" w14:textId="77777777" w:rsidR="009464E1" w:rsidRPr="009464E1" w:rsidRDefault="009464E1" w:rsidP="009464E1">
      <w:pPr>
        <w:numPr>
          <w:ilvl w:val="0"/>
          <w:numId w:val="38"/>
        </w:numPr>
        <w:rPr>
          <w:lang w:val="en-GB"/>
        </w:rPr>
      </w:pPr>
      <w:r w:rsidRPr="009464E1">
        <w:rPr>
          <w:lang w:val="en-GB"/>
        </w:rPr>
        <w:t xml:space="preserve">The availability of OER was raised as a challenge, suggesting two issues, the need to advocate for adoption and the need to align OER provision with demand. Overall, this points to a </w:t>
      </w:r>
      <w:r w:rsidRPr="0031671E">
        <w:rPr>
          <w:b/>
          <w:bCs/>
          <w:lang w:val="en-GB"/>
        </w:rPr>
        <w:t>requirement for ongoing advocacy and support for open education in publicly funded institutions, as well as incentives to share materials as OER</w:t>
      </w:r>
      <w:r w:rsidRPr="009464E1">
        <w:rPr>
          <w:lang w:val="en-GB"/>
        </w:rPr>
        <w:t>.</w:t>
      </w:r>
    </w:p>
    <w:p w14:paraId="5366C8C7" w14:textId="77777777" w:rsidR="009464E1" w:rsidRPr="009464E1" w:rsidRDefault="009464E1" w:rsidP="009464E1">
      <w:pPr>
        <w:numPr>
          <w:ilvl w:val="0"/>
          <w:numId w:val="38"/>
        </w:numPr>
        <w:rPr>
          <w:lang w:val="en-GB"/>
        </w:rPr>
      </w:pPr>
      <w:r w:rsidRPr="009464E1">
        <w:rPr>
          <w:lang w:val="en-GB"/>
        </w:rPr>
        <w:t xml:space="preserve">There were several operational issues highlighted in the research, including user registration, a lack of internet connectivity, diminishing interest following initial activities, the need for funding, and time constraints. All these issues highlight </w:t>
      </w:r>
      <w:r w:rsidRPr="0031671E">
        <w:rPr>
          <w:b/>
          <w:bCs/>
          <w:lang w:val="en-GB"/>
        </w:rPr>
        <w:t>the importance of careful planning for the roll-out of such initiatives, together with a need to adapt to circumstances as and when they change</w:t>
      </w:r>
      <w:r w:rsidRPr="009464E1">
        <w:rPr>
          <w:lang w:val="en-GB"/>
        </w:rPr>
        <w:t>.</w:t>
      </w:r>
    </w:p>
    <w:p w14:paraId="29315D03" w14:textId="77777777" w:rsidR="009464E1" w:rsidRPr="009464E1" w:rsidRDefault="009464E1" w:rsidP="009464E1">
      <w:pPr>
        <w:numPr>
          <w:ilvl w:val="0"/>
          <w:numId w:val="38"/>
        </w:numPr>
        <w:rPr>
          <w:lang w:val="en-GB"/>
        </w:rPr>
      </w:pPr>
      <w:r w:rsidRPr="009464E1">
        <w:rPr>
          <w:lang w:val="en-GB"/>
        </w:rPr>
        <w:t xml:space="preserve">Working with staff and other partners presented </w:t>
      </w:r>
      <w:r w:rsidRPr="0031671E">
        <w:rPr>
          <w:b/>
          <w:bCs/>
          <w:lang w:val="en-GB"/>
        </w:rPr>
        <w:t>a unique set of challenges from getting partners on board to managing dynamics amongst experts or dealing with staff turnover</w:t>
      </w:r>
      <w:r w:rsidRPr="009464E1">
        <w:rPr>
          <w:lang w:val="en-GB"/>
        </w:rPr>
        <w:t>.</w:t>
      </w:r>
    </w:p>
    <w:p w14:paraId="65CA0EA9" w14:textId="77777777" w:rsidR="009464E1" w:rsidRPr="009464E1" w:rsidRDefault="009464E1" w:rsidP="009464E1">
      <w:pPr>
        <w:numPr>
          <w:ilvl w:val="0"/>
          <w:numId w:val="38"/>
        </w:numPr>
        <w:rPr>
          <w:lang w:val="en-GB"/>
        </w:rPr>
      </w:pPr>
      <w:r w:rsidRPr="009464E1">
        <w:rPr>
          <w:lang w:val="en-GB"/>
        </w:rPr>
        <w:t xml:space="preserve">It is important to consider </w:t>
      </w:r>
      <w:r w:rsidRPr="0031671E">
        <w:rPr>
          <w:b/>
          <w:bCs/>
          <w:lang w:val="en-GB"/>
        </w:rPr>
        <w:t>packaging content and research so that it is appealing to different users and conducting sufficient research</w:t>
      </w:r>
      <w:r w:rsidRPr="009464E1">
        <w:rPr>
          <w:lang w:val="en-GB"/>
        </w:rPr>
        <w:t xml:space="preserve"> to inform OER adoption.</w:t>
      </w:r>
    </w:p>
    <w:p w14:paraId="5D8A32C8" w14:textId="77777777" w:rsidR="0024060C" w:rsidRDefault="009464E1" w:rsidP="009464E1">
      <w:pPr>
        <w:numPr>
          <w:ilvl w:val="0"/>
          <w:numId w:val="38"/>
        </w:numPr>
        <w:rPr>
          <w:lang w:val="en-GB"/>
        </w:rPr>
      </w:pPr>
      <w:r w:rsidRPr="009464E1">
        <w:rPr>
          <w:lang w:val="en-GB"/>
        </w:rPr>
        <w:t xml:space="preserve">Finding partners with </w:t>
      </w:r>
      <w:r w:rsidRPr="0031671E">
        <w:rPr>
          <w:b/>
          <w:bCs/>
          <w:lang w:val="en-GB"/>
        </w:rPr>
        <w:t>local language expertise</w:t>
      </w:r>
      <w:r w:rsidRPr="009464E1">
        <w:rPr>
          <w:lang w:val="en-GB"/>
        </w:rPr>
        <w:t xml:space="preserve"> can assist in translation and quality assurance in local languages.</w:t>
      </w:r>
    </w:p>
    <w:p w14:paraId="19CB01F8" w14:textId="4D590FFB" w:rsidR="0024060C" w:rsidRDefault="009464E1" w:rsidP="009464E1">
      <w:pPr>
        <w:numPr>
          <w:ilvl w:val="0"/>
          <w:numId w:val="38"/>
        </w:numPr>
        <w:rPr>
          <w:lang w:val="en-GB"/>
        </w:rPr>
        <w:sectPr w:rsidR="0024060C" w:rsidSect="000D5FC9">
          <w:footerReference w:type="default" r:id="rId34"/>
          <w:footerReference w:type="first" r:id="rId35"/>
          <w:pgSz w:w="11906" w:h="16838"/>
          <w:pgMar w:top="1440" w:right="1440" w:bottom="1440" w:left="1440" w:header="709" w:footer="709" w:gutter="0"/>
          <w:cols w:space="708"/>
          <w:titlePg/>
          <w:docGrid w:linePitch="360"/>
        </w:sectPr>
      </w:pPr>
      <w:r w:rsidRPr="0024060C">
        <w:rPr>
          <w:lang w:val="en-GB"/>
        </w:rPr>
        <w:t xml:space="preserve">Mechanisms like </w:t>
      </w:r>
      <w:r w:rsidRPr="00E31CBD">
        <w:rPr>
          <w:b/>
          <w:bCs/>
          <w:lang w:val="en-GB"/>
        </w:rPr>
        <w:t>memoranda of understanding</w:t>
      </w:r>
      <w:r w:rsidRPr="0024060C">
        <w:rPr>
          <w:lang w:val="en-GB"/>
        </w:rPr>
        <w:t>, which delineate roles and responsibilities, can assist in managing partnerships more effectively.</w:t>
      </w:r>
    </w:p>
    <w:p w14:paraId="6D247B12" w14:textId="69E46038" w:rsidR="00A57031" w:rsidRDefault="0024060C" w:rsidP="0024060C">
      <w:pPr>
        <w:pStyle w:val="Heading2"/>
        <w:rPr>
          <w:lang w:val="en-GB"/>
        </w:rPr>
      </w:pPr>
      <w:r>
        <w:rPr>
          <w:lang w:val="en-GB"/>
        </w:rPr>
        <w:lastRenderedPageBreak/>
        <w:t>Appendix One</w:t>
      </w:r>
    </w:p>
    <w:p w14:paraId="26CA4F37" w14:textId="4C5BBB51" w:rsidR="0024060C" w:rsidRDefault="00D90F66" w:rsidP="00793433">
      <w:pPr>
        <w:pStyle w:val="Heading3"/>
        <w:jc w:val="center"/>
      </w:pPr>
      <w:r w:rsidRPr="00D90F66">
        <w:t>Network of Open Orgs: Collaborative project</w:t>
      </w:r>
    </w:p>
    <w:p w14:paraId="0CE91452" w14:textId="07D34562" w:rsidR="00793433" w:rsidRDefault="00793433" w:rsidP="00793433">
      <w:pPr>
        <w:pStyle w:val="Heading3"/>
        <w:jc w:val="center"/>
      </w:pPr>
      <w:r>
        <w:t>Summary template</w:t>
      </w:r>
    </w:p>
    <w:p w14:paraId="57F2D603" w14:textId="77777777" w:rsidR="001A205A" w:rsidRPr="001A205A" w:rsidRDefault="001A205A" w:rsidP="001A205A">
      <w:r w:rsidRPr="001A205A">
        <w:t>Below is a template for the summaries. Note that this template is intended to guide the summarization process but should not be treated as prescriptive. Authors are encouraged to add headings or sections where appropriate</w:t>
      </w:r>
    </w:p>
    <w:p w14:paraId="1A090A55" w14:textId="77777777" w:rsidR="001A205A" w:rsidRPr="001A205A" w:rsidRDefault="001A205A" w:rsidP="001A205A"/>
    <w:tbl>
      <w:tblPr>
        <w:tblW w:w="0" w:type="auto"/>
        <w:tblBorders>
          <w:top w:val="single" w:sz="12" w:space="0" w:color="E6E8F3"/>
          <w:left w:val="single" w:sz="12" w:space="0" w:color="E6E8F3"/>
          <w:bottom w:val="single" w:sz="12" w:space="0" w:color="E6E8F3"/>
          <w:right w:val="single" w:sz="12" w:space="0" w:color="E6E8F3"/>
          <w:insideH w:val="single" w:sz="12" w:space="0" w:color="E6E8F3"/>
          <w:insideV w:val="single" w:sz="12" w:space="0" w:color="E6E8F3"/>
        </w:tblBorders>
        <w:shd w:val="clear" w:color="auto" w:fill="B6DDE8" w:themeFill="accent5" w:themeFillTint="66"/>
        <w:tblCellMar>
          <w:top w:w="15" w:type="dxa"/>
          <w:left w:w="15" w:type="dxa"/>
          <w:bottom w:w="15" w:type="dxa"/>
          <w:right w:w="15" w:type="dxa"/>
        </w:tblCellMar>
        <w:tblLook w:val="04A0" w:firstRow="1" w:lastRow="0" w:firstColumn="1" w:lastColumn="0" w:noHBand="0" w:noVBand="1"/>
      </w:tblPr>
      <w:tblGrid>
        <w:gridCol w:w="4390"/>
        <w:gridCol w:w="4252"/>
      </w:tblGrid>
      <w:tr w:rsidR="001A205A" w:rsidRPr="001A205A" w14:paraId="78ABE0A0" w14:textId="77777777" w:rsidTr="00726FFB">
        <w:tc>
          <w:tcPr>
            <w:tcW w:w="4390" w:type="dxa"/>
            <w:tcBorders>
              <w:bottom w:val="single" w:sz="12" w:space="0" w:color="FFFFFF" w:themeColor="background1"/>
            </w:tcBorders>
            <w:shd w:val="clear" w:color="auto" w:fill="E6E8F3"/>
            <w:tcMar>
              <w:top w:w="0" w:type="dxa"/>
              <w:left w:w="108" w:type="dxa"/>
              <w:bottom w:w="0" w:type="dxa"/>
              <w:right w:w="108" w:type="dxa"/>
            </w:tcMar>
            <w:hideMark/>
          </w:tcPr>
          <w:p w14:paraId="67DE1F2A" w14:textId="77777777" w:rsidR="001A205A" w:rsidRPr="001A205A" w:rsidRDefault="001A205A" w:rsidP="001A205A">
            <w:r w:rsidRPr="001A205A">
              <w:rPr>
                <w:b/>
                <w:bCs/>
              </w:rPr>
              <w:t>Name of the initiative</w:t>
            </w:r>
          </w:p>
        </w:tc>
        <w:tc>
          <w:tcPr>
            <w:tcW w:w="4252" w:type="dxa"/>
            <w:tcBorders>
              <w:bottom w:val="single" w:sz="12" w:space="0" w:color="FFFFFF" w:themeColor="background1"/>
            </w:tcBorders>
            <w:shd w:val="clear" w:color="auto" w:fill="FFFFFF" w:themeFill="background1"/>
            <w:tcMar>
              <w:top w:w="0" w:type="dxa"/>
              <w:left w:w="108" w:type="dxa"/>
              <w:bottom w:w="0" w:type="dxa"/>
              <w:right w:w="108" w:type="dxa"/>
            </w:tcMar>
            <w:hideMark/>
          </w:tcPr>
          <w:p w14:paraId="4F5E889D" w14:textId="77777777" w:rsidR="001A205A" w:rsidRPr="001A205A" w:rsidRDefault="001A205A" w:rsidP="001A205A"/>
        </w:tc>
      </w:tr>
      <w:tr w:rsidR="00726FFB" w:rsidRPr="001A205A" w14:paraId="0C995833" w14:textId="77777777" w:rsidTr="00726FFB">
        <w:tc>
          <w:tcPr>
            <w:tcW w:w="4390" w:type="dxa"/>
            <w:tcBorders>
              <w:top w:val="single" w:sz="12" w:space="0" w:color="FFFFFF" w:themeColor="background1"/>
              <w:bottom w:val="single" w:sz="12" w:space="0" w:color="FFFFFF" w:themeColor="background1"/>
            </w:tcBorders>
            <w:shd w:val="clear" w:color="auto" w:fill="E6E8F3"/>
            <w:tcMar>
              <w:top w:w="0" w:type="dxa"/>
              <w:left w:w="108" w:type="dxa"/>
              <w:bottom w:w="0" w:type="dxa"/>
              <w:right w:w="108" w:type="dxa"/>
            </w:tcMar>
            <w:hideMark/>
          </w:tcPr>
          <w:p w14:paraId="74D5420C" w14:textId="77777777" w:rsidR="001A205A" w:rsidRPr="001A205A" w:rsidRDefault="001A205A" w:rsidP="001A205A">
            <w:r w:rsidRPr="001A205A">
              <w:rPr>
                <w:b/>
                <w:bCs/>
              </w:rPr>
              <w:t>URL</w:t>
            </w:r>
          </w:p>
        </w:tc>
        <w:tc>
          <w:tcPr>
            <w:tcW w:w="4252" w:type="dxa"/>
            <w:tcBorders>
              <w:top w:val="single" w:sz="12" w:space="0" w:color="FFFFFF" w:themeColor="background1"/>
              <w:bottom w:val="single" w:sz="12" w:space="0" w:color="FFFFFF" w:themeColor="background1"/>
            </w:tcBorders>
            <w:shd w:val="clear" w:color="auto" w:fill="FFFFFF" w:themeFill="background1"/>
            <w:tcMar>
              <w:top w:w="0" w:type="dxa"/>
              <w:left w:w="108" w:type="dxa"/>
              <w:bottom w:w="0" w:type="dxa"/>
              <w:right w:w="108" w:type="dxa"/>
            </w:tcMar>
            <w:hideMark/>
          </w:tcPr>
          <w:p w14:paraId="3453C42A" w14:textId="77777777" w:rsidR="001A205A" w:rsidRPr="001A205A" w:rsidRDefault="001A205A" w:rsidP="001A205A"/>
        </w:tc>
      </w:tr>
      <w:tr w:rsidR="00726FFB" w:rsidRPr="001A205A" w14:paraId="56CEBEBB" w14:textId="77777777" w:rsidTr="00726FFB">
        <w:tc>
          <w:tcPr>
            <w:tcW w:w="4390" w:type="dxa"/>
            <w:tcBorders>
              <w:top w:val="single" w:sz="12" w:space="0" w:color="FFFFFF" w:themeColor="background1"/>
              <w:bottom w:val="single" w:sz="12" w:space="0" w:color="FFFFFF" w:themeColor="background1"/>
            </w:tcBorders>
            <w:shd w:val="clear" w:color="auto" w:fill="E6E8F3"/>
            <w:tcMar>
              <w:top w:w="0" w:type="dxa"/>
              <w:left w:w="108" w:type="dxa"/>
              <w:bottom w:w="0" w:type="dxa"/>
              <w:right w:w="108" w:type="dxa"/>
            </w:tcMar>
            <w:hideMark/>
          </w:tcPr>
          <w:p w14:paraId="71D9674E" w14:textId="77777777" w:rsidR="001A205A" w:rsidRPr="001A205A" w:rsidRDefault="001A205A" w:rsidP="001A205A">
            <w:r w:rsidRPr="001A205A">
              <w:rPr>
                <w:b/>
                <w:bCs/>
              </w:rPr>
              <w:t>Categorisation of impact (access to education/ learner outcomes/ costs)</w:t>
            </w:r>
          </w:p>
        </w:tc>
        <w:tc>
          <w:tcPr>
            <w:tcW w:w="4252" w:type="dxa"/>
            <w:tcBorders>
              <w:top w:val="single" w:sz="12" w:space="0" w:color="FFFFFF" w:themeColor="background1"/>
              <w:bottom w:val="single" w:sz="12" w:space="0" w:color="FFFFFF" w:themeColor="background1"/>
            </w:tcBorders>
            <w:shd w:val="clear" w:color="auto" w:fill="FFFFFF" w:themeFill="background1"/>
            <w:tcMar>
              <w:top w:w="0" w:type="dxa"/>
              <w:left w:w="108" w:type="dxa"/>
              <w:bottom w:w="0" w:type="dxa"/>
              <w:right w:w="108" w:type="dxa"/>
            </w:tcMar>
            <w:hideMark/>
          </w:tcPr>
          <w:p w14:paraId="3C5CFFD1" w14:textId="77777777" w:rsidR="001A205A" w:rsidRPr="001A205A" w:rsidRDefault="001A205A" w:rsidP="001A205A"/>
        </w:tc>
      </w:tr>
      <w:tr w:rsidR="00726FFB" w:rsidRPr="001A205A" w14:paraId="73815A09" w14:textId="77777777" w:rsidTr="00726FFB">
        <w:tc>
          <w:tcPr>
            <w:tcW w:w="4390" w:type="dxa"/>
            <w:tcBorders>
              <w:top w:val="single" w:sz="12" w:space="0" w:color="FFFFFF" w:themeColor="background1"/>
              <w:bottom w:val="single" w:sz="12" w:space="0" w:color="FFFFFF" w:themeColor="background1"/>
            </w:tcBorders>
            <w:shd w:val="clear" w:color="auto" w:fill="E6E8F3"/>
            <w:tcMar>
              <w:top w:w="0" w:type="dxa"/>
              <w:left w:w="108" w:type="dxa"/>
              <w:bottom w:w="0" w:type="dxa"/>
              <w:right w:w="108" w:type="dxa"/>
            </w:tcMar>
            <w:hideMark/>
          </w:tcPr>
          <w:p w14:paraId="5477E28D" w14:textId="77777777" w:rsidR="001A205A" w:rsidRPr="001A205A" w:rsidRDefault="001A205A" w:rsidP="001A205A">
            <w:r w:rsidRPr="001A205A">
              <w:rPr>
                <w:b/>
                <w:bCs/>
              </w:rPr>
              <w:t>Partners</w:t>
            </w:r>
          </w:p>
        </w:tc>
        <w:tc>
          <w:tcPr>
            <w:tcW w:w="4252" w:type="dxa"/>
            <w:tcBorders>
              <w:top w:val="single" w:sz="12" w:space="0" w:color="FFFFFF" w:themeColor="background1"/>
              <w:bottom w:val="single" w:sz="12" w:space="0" w:color="FFFFFF" w:themeColor="background1"/>
            </w:tcBorders>
            <w:shd w:val="clear" w:color="auto" w:fill="FFFFFF" w:themeFill="background1"/>
            <w:tcMar>
              <w:top w:w="0" w:type="dxa"/>
              <w:left w:w="108" w:type="dxa"/>
              <w:bottom w:w="0" w:type="dxa"/>
              <w:right w:w="108" w:type="dxa"/>
            </w:tcMar>
            <w:hideMark/>
          </w:tcPr>
          <w:p w14:paraId="163B142A" w14:textId="77777777" w:rsidR="001A205A" w:rsidRPr="001A205A" w:rsidRDefault="001A205A" w:rsidP="001A205A"/>
        </w:tc>
      </w:tr>
      <w:tr w:rsidR="00726FFB" w:rsidRPr="001A205A" w14:paraId="6682B833" w14:textId="77777777" w:rsidTr="00726FFB">
        <w:tc>
          <w:tcPr>
            <w:tcW w:w="4390" w:type="dxa"/>
            <w:tcBorders>
              <w:top w:val="single" w:sz="12" w:space="0" w:color="FFFFFF" w:themeColor="background1"/>
              <w:bottom w:val="single" w:sz="12" w:space="0" w:color="FFFFFF" w:themeColor="background1"/>
            </w:tcBorders>
            <w:shd w:val="clear" w:color="auto" w:fill="E6E8F3"/>
            <w:tcMar>
              <w:top w:w="0" w:type="dxa"/>
              <w:left w:w="108" w:type="dxa"/>
              <w:bottom w:w="0" w:type="dxa"/>
              <w:right w:w="108" w:type="dxa"/>
            </w:tcMar>
            <w:hideMark/>
          </w:tcPr>
          <w:p w14:paraId="4467EFC0" w14:textId="77777777" w:rsidR="001A205A" w:rsidRPr="001A205A" w:rsidRDefault="001A205A" w:rsidP="001A205A">
            <w:r w:rsidRPr="001A205A">
              <w:rPr>
                <w:b/>
                <w:bCs/>
              </w:rPr>
              <w:t>Funding sources and amount of funding (where available)</w:t>
            </w:r>
          </w:p>
        </w:tc>
        <w:tc>
          <w:tcPr>
            <w:tcW w:w="4252" w:type="dxa"/>
            <w:tcBorders>
              <w:top w:val="single" w:sz="12" w:space="0" w:color="FFFFFF" w:themeColor="background1"/>
              <w:bottom w:val="single" w:sz="12" w:space="0" w:color="FFFFFF" w:themeColor="background1"/>
            </w:tcBorders>
            <w:shd w:val="clear" w:color="auto" w:fill="FFFFFF" w:themeFill="background1"/>
            <w:tcMar>
              <w:top w:w="0" w:type="dxa"/>
              <w:left w:w="108" w:type="dxa"/>
              <w:bottom w:w="0" w:type="dxa"/>
              <w:right w:w="108" w:type="dxa"/>
            </w:tcMar>
            <w:hideMark/>
          </w:tcPr>
          <w:p w14:paraId="6265628D" w14:textId="77777777" w:rsidR="001A205A" w:rsidRPr="001A205A" w:rsidRDefault="001A205A" w:rsidP="001A205A"/>
        </w:tc>
      </w:tr>
      <w:tr w:rsidR="001A205A" w:rsidRPr="001A205A" w14:paraId="022D9404" w14:textId="77777777" w:rsidTr="00726FFB">
        <w:tc>
          <w:tcPr>
            <w:tcW w:w="4390" w:type="dxa"/>
            <w:tcBorders>
              <w:top w:val="single" w:sz="12" w:space="0" w:color="FFFFFF" w:themeColor="background1"/>
            </w:tcBorders>
            <w:shd w:val="clear" w:color="auto" w:fill="E6E8F3"/>
            <w:tcMar>
              <w:top w:w="0" w:type="dxa"/>
              <w:left w:w="108" w:type="dxa"/>
              <w:bottom w:w="0" w:type="dxa"/>
              <w:right w:w="108" w:type="dxa"/>
            </w:tcMar>
            <w:hideMark/>
          </w:tcPr>
          <w:p w14:paraId="3FE17BD5" w14:textId="77777777" w:rsidR="001A205A" w:rsidRPr="001A205A" w:rsidRDefault="001A205A" w:rsidP="001A205A">
            <w:r w:rsidRPr="001A205A">
              <w:rPr>
                <w:b/>
                <w:bCs/>
              </w:rPr>
              <w:t>Years it has been operational</w:t>
            </w:r>
          </w:p>
        </w:tc>
        <w:tc>
          <w:tcPr>
            <w:tcW w:w="4252" w:type="dxa"/>
            <w:tcBorders>
              <w:top w:val="single" w:sz="12" w:space="0" w:color="FFFFFF" w:themeColor="background1"/>
            </w:tcBorders>
            <w:shd w:val="clear" w:color="auto" w:fill="FFFFFF" w:themeFill="background1"/>
            <w:tcMar>
              <w:top w:w="0" w:type="dxa"/>
              <w:left w:w="108" w:type="dxa"/>
              <w:bottom w:w="0" w:type="dxa"/>
              <w:right w:w="108" w:type="dxa"/>
            </w:tcMar>
            <w:hideMark/>
          </w:tcPr>
          <w:p w14:paraId="48586528" w14:textId="77777777" w:rsidR="001A205A" w:rsidRPr="001A205A" w:rsidRDefault="001A205A" w:rsidP="001A205A"/>
        </w:tc>
      </w:tr>
    </w:tbl>
    <w:p w14:paraId="299400D2" w14:textId="77777777" w:rsidR="001A205A" w:rsidRPr="001A205A" w:rsidRDefault="001A205A" w:rsidP="001A205A"/>
    <w:p w14:paraId="2DF047F1" w14:textId="77777777" w:rsidR="001A205A" w:rsidRPr="001A205A" w:rsidRDefault="001A205A" w:rsidP="00D3631B">
      <w:pPr>
        <w:pStyle w:val="Heading4"/>
      </w:pPr>
      <w:r w:rsidRPr="001A205A">
        <w:t>Description, purpose and aims of the initiative</w:t>
      </w:r>
    </w:p>
    <w:p w14:paraId="7604B640" w14:textId="77777777" w:rsidR="001A205A" w:rsidRPr="001A205A" w:rsidRDefault="001A205A" w:rsidP="001A205A">
      <w:r w:rsidRPr="001A205A">
        <w:t>Insert text</w:t>
      </w:r>
    </w:p>
    <w:p w14:paraId="2DD09CF4" w14:textId="77777777" w:rsidR="001A205A" w:rsidRPr="001A205A" w:rsidRDefault="001A205A" w:rsidP="001A205A"/>
    <w:p w14:paraId="3721FF1A" w14:textId="77777777" w:rsidR="001A205A" w:rsidRPr="001A205A" w:rsidRDefault="001A205A" w:rsidP="00D3631B">
      <w:pPr>
        <w:pStyle w:val="Heading4"/>
      </w:pPr>
      <w:r w:rsidRPr="001A205A">
        <w:t>Successes and achievements</w:t>
      </w:r>
    </w:p>
    <w:p w14:paraId="2E4466B5" w14:textId="77777777" w:rsidR="001A205A" w:rsidRPr="001A205A" w:rsidRDefault="001A205A" w:rsidP="001A205A">
      <w:r w:rsidRPr="001A205A">
        <w:t>Insert text</w:t>
      </w:r>
    </w:p>
    <w:p w14:paraId="1124F490" w14:textId="77777777" w:rsidR="001A205A" w:rsidRPr="001A205A" w:rsidRDefault="001A205A" w:rsidP="001A205A"/>
    <w:p w14:paraId="51C704BD" w14:textId="77777777" w:rsidR="001A205A" w:rsidRPr="001A205A" w:rsidRDefault="001A205A" w:rsidP="00D3631B">
      <w:pPr>
        <w:pStyle w:val="Heading4"/>
      </w:pPr>
      <w:r w:rsidRPr="001A205A">
        <w:t>Evidence of impact</w:t>
      </w:r>
    </w:p>
    <w:p w14:paraId="5B0DAAFD" w14:textId="77777777" w:rsidR="001A205A" w:rsidRPr="001A205A" w:rsidRDefault="001A205A" w:rsidP="001A205A">
      <w:r w:rsidRPr="001A205A">
        <w:t>Insert text</w:t>
      </w:r>
    </w:p>
    <w:p w14:paraId="36658E11" w14:textId="77777777" w:rsidR="001A205A" w:rsidRPr="001A205A" w:rsidRDefault="001A205A" w:rsidP="001A205A"/>
    <w:p w14:paraId="7107FA10" w14:textId="77777777" w:rsidR="001A205A" w:rsidRPr="001A205A" w:rsidRDefault="001A205A" w:rsidP="00D3631B">
      <w:pPr>
        <w:pStyle w:val="Heading4"/>
      </w:pPr>
      <w:r w:rsidRPr="001A205A">
        <w:t>Challenges and perceived failures</w:t>
      </w:r>
    </w:p>
    <w:p w14:paraId="5A113A7C" w14:textId="77777777" w:rsidR="001A205A" w:rsidRPr="001A205A" w:rsidRDefault="001A205A" w:rsidP="001A205A">
      <w:r w:rsidRPr="001A205A">
        <w:t>Insert text</w:t>
      </w:r>
    </w:p>
    <w:p w14:paraId="61FD9EDB" w14:textId="77777777" w:rsidR="001A205A" w:rsidRPr="001A205A" w:rsidRDefault="001A205A" w:rsidP="001A205A"/>
    <w:p w14:paraId="59C42268" w14:textId="77777777" w:rsidR="001A205A" w:rsidRPr="001A205A" w:rsidRDefault="001A205A" w:rsidP="00D3631B">
      <w:pPr>
        <w:pStyle w:val="Heading4"/>
      </w:pPr>
      <w:r w:rsidRPr="001A205A">
        <w:t>Lessons learned and practices that made a difference</w:t>
      </w:r>
    </w:p>
    <w:p w14:paraId="5468CA5E" w14:textId="77777777" w:rsidR="001A205A" w:rsidRPr="001A205A" w:rsidRDefault="001A205A" w:rsidP="001A205A">
      <w:r w:rsidRPr="001A205A">
        <w:t xml:space="preserve">[Note that in addition to lessons learned, this sub-section should examine </w:t>
      </w:r>
      <w:r w:rsidRPr="001A205A">
        <w:rPr>
          <w:i/>
          <w:iCs/>
        </w:rPr>
        <w:t>how</w:t>
      </w:r>
      <w:r w:rsidRPr="001A205A">
        <w:t xml:space="preserve"> successful implementation was achieved]</w:t>
      </w:r>
    </w:p>
    <w:p w14:paraId="53286924" w14:textId="77777777" w:rsidR="001A205A" w:rsidRPr="001A205A" w:rsidRDefault="001A205A" w:rsidP="001A205A"/>
    <w:p w14:paraId="5056609F" w14:textId="77777777" w:rsidR="001A205A" w:rsidRPr="001A205A" w:rsidRDefault="001A205A" w:rsidP="001A205A">
      <w:r w:rsidRPr="001A205A">
        <w:t>Insert text</w:t>
      </w:r>
    </w:p>
    <w:p w14:paraId="1CC585BC" w14:textId="77777777" w:rsidR="001A205A" w:rsidRPr="001A205A" w:rsidRDefault="001A205A" w:rsidP="001A205A"/>
    <w:p w14:paraId="60A84C32" w14:textId="77777777" w:rsidR="001A205A" w:rsidRPr="001A205A" w:rsidRDefault="001A205A" w:rsidP="00D3631B">
      <w:pPr>
        <w:pStyle w:val="Heading4"/>
      </w:pPr>
      <w:r w:rsidRPr="001A205A">
        <w:t>Resources and publications</w:t>
      </w:r>
    </w:p>
    <w:p w14:paraId="337FFE45" w14:textId="77777777" w:rsidR="001A205A" w:rsidRPr="001A205A" w:rsidRDefault="001A205A" w:rsidP="001A205A">
      <w:r w:rsidRPr="001A205A">
        <w:t>Insert text</w:t>
      </w:r>
    </w:p>
    <w:p w14:paraId="504A6A51" w14:textId="77777777" w:rsidR="001A205A" w:rsidRPr="001A205A" w:rsidRDefault="001A205A" w:rsidP="00D3631B">
      <w:pPr>
        <w:pStyle w:val="Heading4"/>
      </w:pPr>
      <w:r w:rsidRPr="001A205A">
        <w:t>Translating local insights into an international context</w:t>
      </w:r>
    </w:p>
    <w:p w14:paraId="51DD89AE" w14:textId="77777777" w:rsidR="001A205A" w:rsidRPr="001A205A" w:rsidRDefault="001A205A" w:rsidP="001A205A">
      <w:r w:rsidRPr="001A205A">
        <w:t>[This subsection should help the reader to abstract findings from the case study and translate them into relevant insights for other countries]</w:t>
      </w:r>
    </w:p>
    <w:p w14:paraId="3AF7B366" w14:textId="77777777" w:rsidR="001A205A" w:rsidRPr="001A205A" w:rsidRDefault="001A205A" w:rsidP="001A205A"/>
    <w:p w14:paraId="725B3B11" w14:textId="4BAA2C11" w:rsidR="00793433" w:rsidRPr="00793433" w:rsidRDefault="001A205A" w:rsidP="001A205A">
      <w:r w:rsidRPr="001A205A">
        <w:t>Insert text</w:t>
      </w:r>
    </w:p>
    <w:p w14:paraId="4849E171" w14:textId="77777777" w:rsidR="005B35CE" w:rsidRDefault="005B35CE" w:rsidP="00EE733C">
      <w:pPr>
        <w:spacing w:after="200" w:line="276" w:lineRule="auto"/>
        <w:jc w:val="left"/>
        <w:sectPr w:rsidR="005B35CE" w:rsidSect="000D5FC9">
          <w:pgSz w:w="11906" w:h="16838"/>
          <w:pgMar w:top="1440" w:right="1440" w:bottom="1440" w:left="1440" w:header="709" w:footer="709" w:gutter="0"/>
          <w:cols w:space="708"/>
          <w:titlePg/>
          <w:docGrid w:linePitch="360"/>
        </w:sectPr>
      </w:pPr>
    </w:p>
    <w:p w14:paraId="549902B8" w14:textId="6A0327DD" w:rsidR="007B5292" w:rsidRPr="007B5292" w:rsidRDefault="007B5292" w:rsidP="005C6C3D"/>
    <w:sectPr w:rsidR="007B5292" w:rsidRPr="007B5292" w:rsidSect="000D5FC9">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F0952" w14:textId="77777777" w:rsidR="004C2CC3" w:rsidRDefault="004C2CC3" w:rsidP="005C6C3D">
      <w:r>
        <w:separator/>
      </w:r>
    </w:p>
  </w:endnote>
  <w:endnote w:type="continuationSeparator" w:id="0">
    <w:p w14:paraId="342B3594" w14:textId="77777777" w:rsidR="004C2CC3" w:rsidRDefault="004C2CC3" w:rsidP="005C6C3D">
      <w:r>
        <w:continuationSeparator/>
      </w:r>
    </w:p>
  </w:endnote>
  <w:endnote w:type="continuationNotice" w:id="1">
    <w:p w14:paraId="0E884FEB" w14:textId="77777777" w:rsidR="004C2CC3" w:rsidRDefault="004C2CC3"/>
  </w:endnote>
  <w:endnote w:id="2">
    <w:p w14:paraId="16B87A60" w14:textId="77777777" w:rsidR="005B35CE" w:rsidRPr="007975EC" w:rsidRDefault="005B35CE" w:rsidP="002B473D">
      <w:pPr>
        <w:pStyle w:val="EndnoteText"/>
        <w:jc w:val="left"/>
        <w:rPr>
          <w:rFonts w:asciiTheme="minorHAnsi" w:hAnsiTheme="minorHAnsi" w:cstheme="minorHAnsi"/>
        </w:rPr>
      </w:pPr>
      <w:r w:rsidRPr="007975EC">
        <w:rPr>
          <w:rStyle w:val="EndnoteReference"/>
          <w:rFonts w:asciiTheme="minorHAnsi" w:hAnsiTheme="minorHAnsi" w:cstheme="minorHAnsi"/>
        </w:rPr>
        <w:endnoteRef/>
      </w:r>
      <w:r w:rsidRPr="007975EC">
        <w:rPr>
          <w:rFonts w:asciiTheme="minorHAnsi" w:hAnsiTheme="minorHAnsi" w:cstheme="minorHAnsi"/>
        </w:rPr>
        <w:t xml:space="preserve"> Global Education Monitoring Report Team. (2020). Global education monitoring report, 2020: Inclusion and education: all means all. Retrieved from </w:t>
      </w:r>
      <w:hyperlink r:id="rId1" w:history="1">
        <w:r w:rsidRPr="007975EC">
          <w:rPr>
            <w:rStyle w:val="Hyperlink"/>
            <w:rFonts w:asciiTheme="minorHAnsi" w:hAnsiTheme="minorHAnsi" w:cstheme="minorHAnsi"/>
          </w:rPr>
          <w:t>https://unesdoc.unesco.org/ark:/48223/pf0000373718</w:t>
        </w:r>
      </w:hyperlink>
    </w:p>
  </w:endnote>
  <w:endnote w:id="3">
    <w:p w14:paraId="3E3B6FEB" w14:textId="77777777" w:rsidR="005B35CE" w:rsidRPr="007975EC" w:rsidRDefault="005B35CE" w:rsidP="002B473D">
      <w:pPr>
        <w:pStyle w:val="EndnoteText"/>
        <w:jc w:val="left"/>
        <w:rPr>
          <w:rFonts w:asciiTheme="minorHAnsi" w:hAnsiTheme="minorHAnsi" w:cstheme="minorHAnsi"/>
        </w:rPr>
      </w:pPr>
      <w:r w:rsidRPr="007975EC">
        <w:rPr>
          <w:rStyle w:val="EndnoteReference"/>
          <w:rFonts w:asciiTheme="minorHAnsi" w:hAnsiTheme="minorHAnsi" w:cstheme="minorHAnsi"/>
        </w:rPr>
        <w:endnoteRef/>
      </w:r>
      <w:r w:rsidRPr="007975EC">
        <w:rPr>
          <w:rFonts w:asciiTheme="minorHAnsi" w:hAnsiTheme="minorHAnsi" w:cstheme="minorHAnsi"/>
        </w:rPr>
        <w:t xml:space="preserve"> Albright, A. (2019). The global education challenge: Scaling up to tackle the learning crisis. The Brookings Institution. Retrieved from </w:t>
      </w:r>
      <w:hyperlink r:id="rId2" w:history="1">
        <w:r w:rsidRPr="007975EC">
          <w:rPr>
            <w:rStyle w:val="Hyperlink"/>
            <w:rFonts w:asciiTheme="minorHAnsi" w:hAnsiTheme="minorHAnsi" w:cstheme="minorHAnsi"/>
          </w:rPr>
          <w:t>https://www.brookings.edu/research/the-global-education-challenge-scaling-up-to-tackle-the-learning-crisis/</w:t>
        </w:r>
      </w:hyperlink>
      <w:r w:rsidRPr="007975EC">
        <w:rPr>
          <w:rFonts w:asciiTheme="minorHAnsi" w:hAnsiTheme="minorHAnsi" w:cstheme="minorHAnsi"/>
          <w:b/>
          <w:bCs/>
        </w:rPr>
        <w:t xml:space="preserve"> </w:t>
      </w:r>
    </w:p>
  </w:endnote>
  <w:endnote w:id="4">
    <w:p w14:paraId="0941694F" w14:textId="77777777" w:rsidR="005B35CE" w:rsidRPr="007975EC" w:rsidRDefault="005B35CE" w:rsidP="002B473D">
      <w:pPr>
        <w:pStyle w:val="EndnoteText"/>
        <w:jc w:val="left"/>
        <w:rPr>
          <w:rFonts w:asciiTheme="minorHAnsi" w:hAnsiTheme="minorHAnsi" w:cstheme="minorHAnsi"/>
        </w:rPr>
      </w:pPr>
      <w:r w:rsidRPr="007975EC">
        <w:rPr>
          <w:rStyle w:val="EndnoteReference"/>
          <w:rFonts w:asciiTheme="minorHAnsi" w:hAnsiTheme="minorHAnsi" w:cstheme="minorHAnsi"/>
        </w:rPr>
        <w:endnoteRef/>
      </w:r>
      <w:r w:rsidRPr="007975EC">
        <w:rPr>
          <w:rFonts w:asciiTheme="minorHAnsi" w:hAnsiTheme="minorHAnsi" w:cstheme="minorHAnsi"/>
        </w:rPr>
        <w:t xml:space="preserve"> The World Bank Group. (2018). Chapter 9 – Education systems are misaligned with learning, in World Development Report, 2018. Retrieved from </w:t>
      </w:r>
      <w:hyperlink r:id="rId3" w:history="1">
        <w:r w:rsidRPr="007975EC">
          <w:rPr>
            <w:rStyle w:val="Hyperlink"/>
            <w:rFonts w:asciiTheme="minorHAnsi" w:hAnsiTheme="minorHAnsi" w:cstheme="minorHAnsi"/>
          </w:rPr>
          <w:t>https://openknowledge.worldbank.org/bitstream/handle/10986/28340/9781464810961_Ch09.pdf</w:t>
        </w:r>
      </w:hyperlink>
    </w:p>
  </w:endnote>
  <w:endnote w:id="5">
    <w:p w14:paraId="2D71B47F" w14:textId="77777777" w:rsidR="005B35CE" w:rsidRPr="007975EC" w:rsidRDefault="005B35CE" w:rsidP="002B473D">
      <w:pPr>
        <w:pStyle w:val="EndnoteText"/>
        <w:jc w:val="left"/>
        <w:rPr>
          <w:rFonts w:asciiTheme="minorHAnsi" w:hAnsiTheme="minorHAnsi" w:cstheme="minorHAnsi"/>
        </w:rPr>
      </w:pPr>
      <w:r w:rsidRPr="007975EC">
        <w:rPr>
          <w:rStyle w:val="EndnoteReference"/>
          <w:rFonts w:asciiTheme="minorHAnsi" w:hAnsiTheme="minorHAnsi" w:cstheme="minorHAnsi"/>
        </w:rPr>
        <w:endnoteRef/>
      </w:r>
      <w:r w:rsidRPr="007975EC">
        <w:rPr>
          <w:rFonts w:asciiTheme="minorHAnsi" w:hAnsiTheme="minorHAnsi" w:cstheme="minorHAnsi"/>
        </w:rPr>
        <w:t xml:space="preserve"> </w:t>
      </w:r>
      <w:r w:rsidRPr="007975EC">
        <w:rPr>
          <w:rFonts w:asciiTheme="minorHAnsi" w:hAnsiTheme="minorHAnsi" w:cstheme="minorHAnsi"/>
          <w:lang w:eastAsia="en-US"/>
        </w:rPr>
        <w:t>Schleicher</w:t>
      </w:r>
      <w:r w:rsidRPr="007975EC">
        <w:rPr>
          <w:rFonts w:asciiTheme="minorHAnsi" w:hAnsiTheme="minorHAnsi" w:cstheme="minorHAnsi"/>
        </w:rPr>
        <w:t xml:space="preserve">, A. (2020). The impact of COVID-19 on education: Insights from education at a glance, 2020. OECD. Retrieved from </w:t>
      </w:r>
      <w:hyperlink r:id="rId4" w:history="1">
        <w:r w:rsidRPr="007975EC">
          <w:rPr>
            <w:rStyle w:val="Hyperlink"/>
            <w:rFonts w:asciiTheme="minorHAnsi" w:hAnsiTheme="minorHAnsi" w:cstheme="minorHAnsi"/>
          </w:rPr>
          <w:t>https://www.oecd.org/education/the-impact-of-covid-19-on-education-insights-education-at-a-glance-2020.pdf</w:t>
        </w:r>
      </w:hyperlink>
    </w:p>
  </w:endnote>
  <w:endnote w:id="6">
    <w:p w14:paraId="7E2639D5" w14:textId="77777777" w:rsidR="005B35CE" w:rsidRPr="007975EC" w:rsidRDefault="005B35CE" w:rsidP="002B473D">
      <w:pPr>
        <w:pStyle w:val="EndnoteText"/>
        <w:jc w:val="left"/>
        <w:rPr>
          <w:rFonts w:asciiTheme="minorHAnsi" w:hAnsiTheme="minorHAnsi" w:cstheme="minorHAnsi"/>
        </w:rPr>
      </w:pPr>
      <w:r w:rsidRPr="007975EC">
        <w:rPr>
          <w:rStyle w:val="EndnoteReference"/>
          <w:rFonts w:asciiTheme="minorHAnsi" w:hAnsiTheme="minorHAnsi" w:cstheme="minorHAnsi"/>
        </w:rPr>
        <w:endnoteRef/>
      </w:r>
      <w:r w:rsidRPr="007975EC">
        <w:rPr>
          <w:rFonts w:asciiTheme="minorHAnsi" w:hAnsiTheme="minorHAnsi" w:cstheme="minorHAnsi"/>
        </w:rPr>
        <w:t xml:space="preserve"> Human Rights Watch. (2020). Impact of Covid-19 on Children’s Education in Africa. Retrieved from </w:t>
      </w:r>
      <w:hyperlink r:id="rId5" w:history="1">
        <w:r w:rsidRPr="007975EC">
          <w:rPr>
            <w:rStyle w:val="Hyperlink"/>
            <w:rFonts w:asciiTheme="minorHAnsi" w:hAnsiTheme="minorHAnsi" w:cstheme="minorHAnsi"/>
          </w:rPr>
          <w:t>https://www.hrw.org/news/2020/08/26/impact-covid-19-childrens-education-africa</w:t>
        </w:r>
      </w:hyperlink>
    </w:p>
  </w:endnote>
  <w:endnote w:id="7">
    <w:p w14:paraId="1B85AE72" w14:textId="77777777" w:rsidR="005B35CE" w:rsidRPr="007975EC" w:rsidRDefault="005B35CE" w:rsidP="002B473D">
      <w:pPr>
        <w:pStyle w:val="EndnoteText"/>
        <w:jc w:val="left"/>
        <w:rPr>
          <w:rFonts w:asciiTheme="minorHAnsi" w:hAnsiTheme="minorHAnsi" w:cstheme="minorHAnsi"/>
          <w:b/>
          <w:bCs/>
        </w:rPr>
      </w:pPr>
      <w:r w:rsidRPr="007975EC">
        <w:rPr>
          <w:rStyle w:val="EndnoteReference"/>
          <w:rFonts w:asciiTheme="minorHAnsi" w:hAnsiTheme="minorHAnsi" w:cstheme="minorHAnsi"/>
        </w:rPr>
        <w:endnoteRef/>
      </w:r>
      <w:r w:rsidRPr="007975EC">
        <w:rPr>
          <w:rFonts w:asciiTheme="minorHAnsi" w:hAnsiTheme="minorHAnsi" w:cstheme="minorHAnsi"/>
        </w:rPr>
        <w:t xml:space="preserve"> Engler, J.N. &amp; Shedlosky-Shoemaker, R. (2018). Facilitating Student Success: The Role of Open Educational Resources in Introductory Psychology Courses. </w:t>
      </w:r>
      <w:hyperlink r:id="rId6" w:history="1">
        <w:r w:rsidRPr="007975EC">
          <w:rPr>
            <w:rStyle w:val="Hyperlink"/>
            <w:rFonts w:asciiTheme="minorHAnsi" w:hAnsiTheme="minorHAnsi" w:cstheme="minorHAnsi"/>
          </w:rPr>
          <w:t>https://journals.sagepub.com/doi/full/10.1177/1475725718810241</w:t>
        </w:r>
      </w:hyperlink>
    </w:p>
  </w:endnote>
  <w:endnote w:id="8">
    <w:p w14:paraId="72820DDF" w14:textId="77777777" w:rsidR="005B35CE" w:rsidRPr="007975EC" w:rsidRDefault="005B35CE" w:rsidP="002B473D">
      <w:pPr>
        <w:pStyle w:val="EndnoteText"/>
        <w:jc w:val="left"/>
        <w:rPr>
          <w:rFonts w:asciiTheme="minorHAnsi" w:hAnsiTheme="minorHAnsi" w:cstheme="minorHAnsi"/>
        </w:rPr>
      </w:pPr>
      <w:r w:rsidRPr="007975EC">
        <w:rPr>
          <w:rStyle w:val="EndnoteReference"/>
          <w:rFonts w:asciiTheme="minorHAnsi" w:hAnsiTheme="minorHAnsi" w:cstheme="minorHAnsi"/>
        </w:rPr>
        <w:endnoteRef/>
      </w:r>
      <w:r w:rsidRPr="007975EC">
        <w:rPr>
          <w:rFonts w:asciiTheme="minorHAnsi" w:hAnsiTheme="minorHAnsi" w:cstheme="minorHAnsi"/>
        </w:rPr>
        <w:t xml:space="preserve"> C. Hodgkinson-Williams &amp; P. B. Arinto (Eds.), Adoption and impact of OER in the Global South. </w:t>
      </w:r>
      <w:hyperlink r:id="rId7" w:history="1">
        <w:r w:rsidRPr="007975EC">
          <w:rPr>
            <w:rStyle w:val="Hyperlink"/>
            <w:rFonts w:asciiTheme="minorHAnsi" w:hAnsiTheme="minorHAnsi" w:cstheme="minorHAnsi"/>
          </w:rPr>
          <w:t>http://www.roer4d.uct.ac.za/roer4d/edited-volume</w:t>
        </w:r>
      </w:hyperlink>
    </w:p>
  </w:endnote>
  <w:endnote w:id="9">
    <w:p w14:paraId="1F62131C" w14:textId="77777777" w:rsidR="005B35CE" w:rsidRPr="00B73BD8" w:rsidRDefault="005B35CE" w:rsidP="002B473D">
      <w:pPr>
        <w:pStyle w:val="EndnoteText"/>
        <w:jc w:val="left"/>
        <w:rPr>
          <w:rFonts w:asciiTheme="minorHAnsi" w:hAnsiTheme="minorHAnsi" w:cstheme="minorHAnsi"/>
        </w:rPr>
      </w:pPr>
      <w:r w:rsidRPr="00B73BD8">
        <w:rPr>
          <w:rStyle w:val="EndnoteReference"/>
          <w:rFonts w:asciiTheme="minorHAnsi" w:hAnsiTheme="minorHAnsi" w:cstheme="minorHAnsi"/>
        </w:rPr>
        <w:endnoteRef/>
      </w:r>
      <w:r w:rsidRPr="00B73BD8">
        <w:rPr>
          <w:rFonts w:asciiTheme="minorHAnsi" w:hAnsiTheme="minorHAnsi" w:cstheme="minorHAnsi"/>
        </w:rPr>
        <w:t xml:space="preserve"> These terms are used interchangeably in this report and are aligned with how they are referred to in their respective evidence bases.</w:t>
      </w:r>
    </w:p>
  </w:endnote>
  <w:endnote w:id="10">
    <w:p w14:paraId="0E5C934F" w14:textId="77777777" w:rsidR="005B35CE" w:rsidRPr="007975EC" w:rsidRDefault="005B35CE" w:rsidP="002B473D">
      <w:pPr>
        <w:pStyle w:val="EndnoteText"/>
        <w:jc w:val="left"/>
        <w:rPr>
          <w:rFonts w:asciiTheme="minorHAnsi" w:hAnsiTheme="minorHAnsi" w:cstheme="minorHAnsi"/>
        </w:rPr>
      </w:pPr>
      <w:r w:rsidRPr="009074E4">
        <w:rPr>
          <w:rStyle w:val="EndnoteReference"/>
          <w:rFonts w:asciiTheme="minorHAnsi" w:hAnsiTheme="minorHAnsi" w:cstheme="minorHAnsi"/>
        </w:rPr>
        <w:endnoteRef/>
      </w:r>
      <w:r w:rsidRPr="009074E4">
        <w:rPr>
          <w:rFonts w:asciiTheme="minorHAnsi" w:hAnsiTheme="minorHAnsi" w:cstheme="minorHAnsi"/>
        </w:rPr>
        <w:t xml:space="preserve"> Butcher, N. and Hoosen, S. (2019). Harnessing OER Practices to Drive Pedagogical Improvement: The Role of Continuing Professional Development. OER Africa. Retrieved from </w:t>
      </w:r>
      <w:hyperlink r:id="rId8" w:history="1">
        <w:r w:rsidRPr="009074E4">
          <w:rPr>
            <w:rStyle w:val="Hyperlink"/>
            <w:rFonts w:asciiTheme="minorHAnsi" w:hAnsiTheme="minorHAnsi" w:cstheme="minorHAnsi"/>
          </w:rPr>
          <w:t>https://www.nba.co.za/sites/default/files/2021-04/oer-africa-2019-research-report.pdf</w:t>
        </w:r>
      </w:hyperlink>
    </w:p>
  </w:endnote>
  <w:endnote w:id="11">
    <w:p w14:paraId="108BF72C" w14:textId="77777777" w:rsidR="005B35CE" w:rsidRPr="007975EC" w:rsidRDefault="005B35CE" w:rsidP="002B473D">
      <w:pPr>
        <w:pStyle w:val="EndnoteText"/>
        <w:jc w:val="left"/>
        <w:rPr>
          <w:rFonts w:asciiTheme="minorHAnsi" w:hAnsiTheme="minorHAnsi" w:cstheme="minorHAnsi"/>
        </w:rPr>
      </w:pPr>
      <w:r w:rsidRPr="007975EC">
        <w:rPr>
          <w:rStyle w:val="EndnoteReference"/>
          <w:rFonts w:asciiTheme="minorHAnsi" w:hAnsiTheme="minorHAnsi" w:cstheme="minorHAnsi"/>
        </w:rPr>
        <w:endnoteRef/>
      </w:r>
      <w:r w:rsidRPr="007975EC">
        <w:rPr>
          <w:rFonts w:asciiTheme="minorHAnsi" w:hAnsiTheme="minorHAnsi" w:cstheme="minorHAnsi"/>
        </w:rPr>
        <w:t xml:space="preserve"> </w:t>
      </w:r>
      <w:r w:rsidRPr="007975EC">
        <w:rPr>
          <w:rFonts w:asciiTheme="minorHAnsi" w:hAnsiTheme="minorHAnsi" w:cstheme="minorHAnsi"/>
          <w:lang w:val="en-GB"/>
        </w:rPr>
        <w:t xml:space="preserve">Adala, A. (2017). Assessing The Impact Of OER Availability On The Emergence Of Open Educational Practices In Sub-Saharan Africa: The Case of an Integrated Multinational Teacher Education Programme In Mathematics and Science. ROED4D. </w:t>
      </w:r>
      <w:hyperlink r:id="rId9" w:history="1">
        <w:r w:rsidRPr="007975EC">
          <w:rPr>
            <w:rStyle w:val="Hyperlink"/>
            <w:rFonts w:asciiTheme="minorHAnsi" w:hAnsiTheme="minorHAnsi" w:cstheme="minorHAnsi"/>
            <w:lang w:val="en-GB"/>
          </w:rPr>
          <w:t>https://idl-bnc-idrc.dspacedirect.org/bitstream/handle/10625/58035/58118.pdf</w:t>
        </w:r>
      </w:hyperlink>
    </w:p>
  </w:endnote>
  <w:endnote w:id="12">
    <w:p w14:paraId="42D1D6CF" w14:textId="77777777" w:rsidR="005B35CE" w:rsidRPr="009539B4" w:rsidRDefault="005B35CE" w:rsidP="002B473D">
      <w:pPr>
        <w:pStyle w:val="EndnoteText"/>
        <w:jc w:val="left"/>
      </w:pPr>
      <w:r>
        <w:rPr>
          <w:rStyle w:val="EndnoteReference"/>
        </w:rPr>
        <w:endnoteRef/>
      </w:r>
      <w:r>
        <w:t xml:space="preserve"> </w:t>
      </w:r>
      <w:r w:rsidRPr="00297304">
        <w:rPr>
          <w:rFonts w:asciiTheme="minorHAnsi" w:hAnsiTheme="minorHAnsi" w:cstheme="minorHAnsi"/>
          <w:lang w:val="en-GB"/>
        </w:rPr>
        <w:t xml:space="preserve">Different measures can be used to evaluate learner outcomes. This includes direct measures such as quizzes, examinations, reports, essays, research projects, and case study analyses or indirect measures like course evaluations, student surveys, course enrolment information, and retention or employment rates. See </w:t>
      </w:r>
      <w:hyperlink r:id="rId10" w:history="1">
        <w:r w:rsidRPr="007975EC">
          <w:rPr>
            <w:rStyle w:val="Hyperlink"/>
            <w:rFonts w:asciiTheme="minorHAnsi" w:hAnsiTheme="minorHAnsi" w:cstheme="minorHAnsi"/>
          </w:rPr>
          <w:t>https://teaching.cornell.edu/teaching-resources/assessment-evaluation/measuring-student-learning</w:t>
        </w:r>
      </w:hyperlink>
    </w:p>
  </w:endnote>
  <w:endnote w:id="13">
    <w:p w14:paraId="5057F7A9" w14:textId="77777777" w:rsidR="005B35CE" w:rsidRPr="007975EC" w:rsidRDefault="005B35CE" w:rsidP="002B473D">
      <w:pPr>
        <w:pStyle w:val="EndnoteText"/>
        <w:jc w:val="left"/>
        <w:rPr>
          <w:rFonts w:asciiTheme="minorHAnsi" w:hAnsiTheme="minorHAnsi" w:cstheme="minorHAnsi"/>
        </w:rPr>
      </w:pPr>
      <w:r w:rsidRPr="007975EC">
        <w:rPr>
          <w:rStyle w:val="EndnoteReference"/>
          <w:rFonts w:asciiTheme="minorHAnsi" w:hAnsiTheme="minorHAnsi" w:cstheme="minorHAnsi"/>
        </w:rPr>
        <w:endnoteRef/>
      </w:r>
      <w:r w:rsidRPr="007975EC">
        <w:rPr>
          <w:rFonts w:asciiTheme="minorHAnsi" w:hAnsiTheme="minorHAnsi" w:cstheme="minorHAnsi"/>
        </w:rPr>
        <w:t xml:space="preserve"> Butcher, N. and Hoosen, S. (2019). Harnessing OER Practices to Drive Pedagogical Improvement: The Role of Continuing Professional Development. OER Africa. Retrieved from </w:t>
      </w:r>
      <w:hyperlink r:id="rId11" w:history="1">
        <w:r w:rsidRPr="007975EC">
          <w:rPr>
            <w:rStyle w:val="Hyperlink"/>
            <w:rFonts w:asciiTheme="minorHAnsi" w:hAnsiTheme="minorHAnsi" w:cstheme="minorHAnsi"/>
          </w:rPr>
          <w:t>https://www.nba.co.za/sites/default/files/2021-04/oer-africa-2019-research-report.pdf</w:t>
        </w:r>
      </w:hyperlink>
    </w:p>
  </w:endnote>
  <w:endnote w:id="14">
    <w:p w14:paraId="2E934A89" w14:textId="519604A5" w:rsidR="008D0F32" w:rsidRPr="001978EF" w:rsidRDefault="005B35CE" w:rsidP="002B473D">
      <w:pPr>
        <w:pBdr>
          <w:top w:val="nil"/>
          <w:left w:val="nil"/>
          <w:bottom w:val="nil"/>
          <w:right w:val="nil"/>
          <w:between w:val="nil"/>
        </w:pBdr>
        <w:jc w:val="left"/>
        <w:rPr>
          <w:rFonts w:asciiTheme="minorHAnsi" w:hAnsiTheme="minorHAnsi" w:cstheme="minorHAnsi"/>
          <w:i/>
          <w:color w:val="000000"/>
          <w:szCs w:val="20"/>
          <w:lang w:val="fr-FR"/>
        </w:rPr>
      </w:pPr>
      <w:r w:rsidRPr="007975EC">
        <w:rPr>
          <w:rStyle w:val="EndnoteReference"/>
          <w:rFonts w:asciiTheme="minorHAnsi" w:hAnsiTheme="minorHAnsi" w:cstheme="minorHAnsi"/>
        </w:rPr>
        <w:endnoteRef/>
      </w:r>
      <w:r w:rsidRPr="001978EF">
        <w:rPr>
          <w:rFonts w:asciiTheme="minorHAnsi" w:hAnsiTheme="minorHAnsi" w:cstheme="minorHAnsi"/>
          <w:color w:val="000000"/>
          <w:szCs w:val="20"/>
          <w:lang w:val="fr-FR"/>
        </w:rPr>
        <w:t xml:space="preserve"> ICDE. (n.d). </w:t>
      </w:r>
      <w:r w:rsidRPr="001978EF">
        <w:rPr>
          <w:rFonts w:asciiTheme="minorHAnsi" w:hAnsiTheme="minorHAnsi" w:cstheme="minorHAnsi"/>
          <w:i/>
          <w:color w:val="000000"/>
          <w:szCs w:val="20"/>
          <w:lang w:val="fr-FR"/>
        </w:rPr>
        <w:t>ICDE Francophone OER Project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panose1 w:val="020B0604020202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6FF" w:usb1="4000FCFF" w:usb2="00000009" w:usb3="00000000" w:csb0="0000019F" w:csb1="00000000"/>
  </w:font>
  <w:font w:name="Segoe UI">
    <w:panose1 w:val="020B0604020202020204"/>
    <w:charset w:val="00"/>
    <w:family w:val="swiss"/>
    <w:pitch w:val="variable"/>
    <w:sig w:usb0="E4002EFF" w:usb1="C000E47F" w:usb2="00000009" w:usb3="00000000" w:csb0="000001FF" w:csb1="00000000"/>
  </w:font>
  <w:font w:name="Roboto Black">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10C91" w14:textId="4929B9EA" w:rsidR="00036015" w:rsidRDefault="00036015" w:rsidP="00D82FA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1EDB4AB" w14:textId="7D0DEE65" w:rsidR="00CA0326" w:rsidRDefault="00CA0326" w:rsidP="005C6C3D">
    <w:pPr>
      <w:pStyle w:val="Footer"/>
      <w:rPr>
        <w:rStyle w:val="PageNumber"/>
      </w:rPr>
    </w:pPr>
  </w:p>
  <w:p w14:paraId="2E74AE91" w14:textId="1E31F06A" w:rsidR="00667B64" w:rsidRDefault="009531A4" w:rsidP="005C6C3D">
    <w:pPr>
      <w:pStyle w:val="Footer"/>
    </w:pPr>
    <w:r>
      <w:rPr>
        <w:noProof/>
      </w:rPr>
      <w:drawing>
        <wp:anchor distT="0" distB="0" distL="114300" distR="114300" simplePos="0" relativeHeight="251658240" behindDoc="1" locked="0" layoutInCell="1" allowOverlap="1" wp14:anchorId="7CE0CA53" wp14:editId="04B57474">
          <wp:simplePos x="0" y="0"/>
          <wp:positionH relativeFrom="column">
            <wp:posOffset>5080000</wp:posOffset>
          </wp:positionH>
          <wp:positionV relativeFrom="paragraph">
            <wp:posOffset>-69215</wp:posOffset>
          </wp:positionV>
          <wp:extent cx="1270000" cy="45720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extLst>
                      <a:ext uri="{28A0092B-C50C-407E-A947-70E740481C1C}">
                        <a14:useLocalDpi xmlns:a14="http://schemas.microsoft.com/office/drawing/2010/main" val="0"/>
                      </a:ext>
                    </a:extLst>
                  </a:blip>
                  <a:stretch>
                    <a:fillRect/>
                  </a:stretch>
                </pic:blipFill>
                <pic:spPr>
                  <a:xfrm>
                    <a:off x="0" y="0"/>
                    <a:ext cx="1270000" cy="4572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1100166"/>
      <w:docPartObj>
        <w:docPartGallery w:val="Page Numbers (Bottom of Page)"/>
        <w:docPartUnique/>
      </w:docPartObj>
    </w:sdtPr>
    <w:sdtEndPr>
      <w:rPr>
        <w:b/>
        <w:bCs/>
        <w:noProof/>
        <w:color w:val="02413D"/>
      </w:rPr>
    </w:sdtEndPr>
    <w:sdtContent>
      <w:p w14:paraId="44523AF8" w14:textId="34558802" w:rsidR="0072103F" w:rsidRPr="0072103F" w:rsidRDefault="0072103F">
        <w:pPr>
          <w:pStyle w:val="Footer"/>
          <w:jc w:val="center"/>
          <w:rPr>
            <w:b/>
            <w:bCs/>
            <w:color w:val="02413D"/>
          </w:rPr>
        </w:pPr>
        <w:r w:rsidRPr="001542A8">
          <w:rPr>
            <w:noProof/>
            <w:color w:val="02413D"/>
          </w:rPr>
          <w:drawing>
            <wp:anchor distT="0" distB="0" distL="114300" distR="114300" simplePos="0" relativeHeight="251676672" behindDoc="1" locked="0" layoutInCell="1" allowOverlap="1" wp14:anchorId="504F7550" wp14:editId="30A3866F">
              <wp:simplePos x="0" y="0"/>
              <wp:positionH relativeFrom="page">
                <wp:posOffset>0</wp:posOffset>
              </wp:positionH>
              <wp:positionV relativeFrom="paragraph">
                <wp:posOffset>-181610</wp:posOffset>
              </wp:positionV>
              <wp:extent cx="7978893" cy="780842"/>
              <wp:effectExtent l="0" t="0" r="3175" b="635"/>
              <wp:wrapNone/>
              <wp:docPr id="51" name="Picture 5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pic:nvPicPr>
                    <pic:blipFill>
                      <a:blip r:embed="rId1">
                        <a:extLst>
                          <a:ext uri="{28A0092B-C50C-407E-A947-70E740481C1C}">
                            <a14:useLocalDpi xmlns:a14="http://schemas.microsoft.com/office/drawing/2010/main" val="0"/>
                          </a:ext>
                        </a:extLst>
                      </a:blip>
                      <a:srcRect t="19270" b="19270"/>
                      <a:stretch>
                        <a:fillRect/>
                      </a:stretch>
                    </pic:blipFill>
                    <pic:spPr bwMode="auto">
                      <a:xfrm>
                        <a:off x="0" y="0"/>
                        <a:ext cx="7978893" cy="78084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2103F">
          <w:rPr>
            <w:b/>
            <w:bCs/>
            <w:color w:val="02413D"/>
          </w:rPr>
          <w:fldChar w:fldCharType="begin"/>
        </w:r>
        <w:r w:rsidRPr="0072103F">
          <w:rPr>
            <w:b/>
            <w:bCs/>
            <w:color w:val="02413D"/>
          </w:rPr>
          <w:instrText xml:space="preserve"> PAGE   \* MERGEFORMAT </w:instrText>
        </w:r>
        <w:r w:rsidRPr="0072103F">
          <w:rPr>
            <w:b/>
            <w:bCs/>
            <w:color w:val="02413D"/>
          </w:rPr>
          <w:fldChar w:fldCharType="separate"/>
        </w:r>
        <w:r w:rsidRPr="0072103F">
          <w:rPr>
            <w:b/>
            <w:bCs/>
            <w:noProof/>
            <w:color w:val="02413D"/>
          </w:rPr>
          <w:t>2</w:t>
        </w:r>
        <w:r w:rsidRPr="0072103F">
          <w:rPr>
            <w:b/>
            <w:bCs/>
            <w:noProof/>
            <w:color w:val="02413D"/>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F21B5" w14:textId="27C6FD90" w:rsidR="00B4012F" w:rsidRPr="000D5FC9" w:rsidRDefault="00B4012F">
    <w:pPr>
      <w:pStyle w:val="Footer"/>
      <w:jc w:val="center"/>
      <w:rPr>
        <w:b/>
        <w:bCs/>
        <w:color w:val="02413D"/>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7345018"/>
      <w:docPartObj>
        <w:docPartGallery w:val="Page Numbers (Bottom of Page)"/>
        <w:docPartUnique/>
      </w:docPartObj>
    </w:sdtPr>
    <w:sdtEndPr>
      <w:rPr>
        <w:b/>
        <w:bCs/>
        <w:noProof/>
        <w:color w:val="02413D"/>
      </w:rPr>
    </w:sdtEndPr>
    <w:sdtContent>
      <w:p w14:paraId="2CAB71B5" w14:textId="6BEE49C8" w:rsidR="00741996" w:rsidRPr="00741996" w:rsidRDefault="00741996">
        <w:pPr>
          <w:pStyle w:val="Footer"/>
          <w:jc w:val="center"/>
          <w:rPr>
            <w:b/>
            <w:bCs/>
            <w:color w:val="02413D"/>
          </w:rPr>
        </w:pPr>
        <w:r w:rsidRPr="001542A8">
          <w:rPr>
            <w:noProof/>
            <w:color w:val="02413D"/>
          </w:rPr>
          <w:drawing>
            <wp:anchor distT="0" distB="0" distL="114300" distR="114300" simplePos="0" relativeHeight="251678720" behindDoc="1" locked="0" layoutInCell="1" allowOverlap="1" wp14:anchorId="5FE9D21D" wp14:editId="72A46007">
              <wp:simplePos x="0" y="0"/>
              <wp:positionH relativeFrom="page">
                <wp:posOffset>0</wp:posOffset>
              </wp:positionH>
              <wp:positionV relativeFrom="paragraph">
                <wp:posOffset>-181610</wp:posOffset>
              </wp:positionV>
              <wp:extent cx="7978893" cy="780842"/>
              <wp:effectExtent l="0" t="0" r="3175" b="635"/>
              <wp:wrapNone/>
              <wp:docPr id="37" name="Picture 3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pic:nvPicPr>
                    <pic:blipFill>
                      <a:blip r:embed="rId1">
                        <a:extLst>
                          <a:ext uri="{28A0092B-C50C-407E-A947-70E740481C1C}">
                            <a14:useLocalDpi xmlns:a14="http://schemas.microsoft.com/office/drawing/2010/main" val="0"/>
                          </a:ext>
                        </a:extLst>
                      </a:blip>
                      <a:srcRect t="19270" b="19270"/>
                      <a:stretch>
                        <a:fillRect/>
                      </a:stretch>
                    </pic:blipFill>
                    <pic:spPr bwMode="auto">
                      <a:xfrm>
                        <a:off x="0" y="0"/>
                        <a:ext cx="7978893" cy="78084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41996">
          <w:rPr>
            <w:b/>
            <w:bCs/>
            <w:color w:val="02413D"/>
          </w:rPr>
          <w:fldChar w:fldCharType="begin"/>
        </w:r>
        <w:r w:rsidRPr="00741996">
          <w:rPr>
            <w:b/>
            <w:bCs/>
            <w:color w:val="02413D"/>
          </w:rPr>
          <w:instrText xml:space="preserve"> PAGE   \* MERGEFORMAT </w:instrText>
        </w:r>
        <w:r w:rsidRPr="00741996">
          <w:rPr>
            <w:b/>
            <w:bCs/>
            <w:color w:val="02413D"/>
          </w:rPr>
          <w:fldChar w:fldCharType="separate"/>
        </w:r>
        <w:r w:rsidRPr="00741996">
          <w:rPr>
            <w:b/>
            <w:bCs/>
            <w:noProof/>
            <w:color w:val="02413D"/>
          </w:rPr>
          <w:t>2</w:t>
        </w:r>
        <w:r w:rsidRPr="00741996">
          <w:rPr>
            <w:b/>
            <w:bCs/>
            <w:noProof/>
            <w:color w:val="02413D"/>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6983595"/>
      <w:docPartObj>
        <w:docPartGallery w:val="Page Numbers (Bottom of Page)"/>
        <w:docPartUnique/>
      </w:docPartObj>
    </w:sdtPr>
    <w:sdtEndPr>
      <w:rPr>
        <w:b/>
        <w:bCs/>
        <w:noProof/>
        <w:color w:val="02413D"/>
      </w:rPr>
    </w:sdtEndPr>
    <w:sdtContent>
      <w:p w14:paraId="10B199EC" w14:textId="1C022F77" w:rsidR="00DA74F0" w:rsidRPr="00AF65A8" w:rsidRDefault="00CE2289">
        <w:pPr>
          <w:pStyle w:val="Footer"/>
          <w:jc w:val="center"/>
          <w:rPr>
            <w:b/>
            <w:bCs/>
            <w:color w:val="02413D"/>
          </w:rPr>
        </w:pPr>
        <w:r w:rsidRPr="001542A8">
          <w:rPr>
            <w:noProof/>
            <w:color w:val="02413D"/>
          </w:rPr>
          <w:drawing>
            <wp:anchor distT="0" distB="0" distL="114300" distR="114300" simplePos="0" relativeHeight="251674624" behindDoc="1" locked="0" layoutInCell="1" allowOverlap="1" wp14:anchorId="47F43EA4" wp14:editId="578D3808">
              <wp:simplePos x="0" y="0"/>
              <wp:positionH relativeFrom="page">
                <wp:posOffset>-9525</wp:posOffset>
              </wp:positionH>
              <wp:positionV relativeFrom="paragraph">
                <wp:posOffset>-297815</wp:posOffset>
              </wp:positionV>
              <wp:extent cx="10692000" cy="1046356"/>
              <wp:effectExtent l="0" t="0" r="0" b="1905"/>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extLst>
                          <a:ext uri="{28A0092B-C50C-407E-A947-70E740481C1C}">
                            <a14:useLocalDpi xmlns:a14="http://schemas.microsoft.com/office/drawing/2010/main" val="0"/>
                          </a:ext>
                        </a:extLst>
                      </a:blip>
                      <a:srcRect t="6421" b="6421"/>
                      <a:stretch>
                        <a:fillRect/>
                      </a:stretch>
                    </pic:blipFill>
                    <pic:spPr bwMode="auto">
                      <a:xfrm>
                        <a:off x="0" y="0"/>
                        <a:ext cx="10692000" cy="10463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A74F0" w:rsidRPr="00AF65A8">
          <w:rPr>
            <w:b/>
            <w:bCs/>
            <w:color w:val="02413D"/>
          </w:rPr>
          <w:fldChar w:fldCharType="begin"/>
        </w:r>
        <w:r w:rsidR="00DA74F0" w:rsidRPr="00AF65A8">
          <w:rPr>
            <w:b/>
            <w:bCs/>
            <w:color w:val="02413D"/>
          </w:rPr>
          <w:instrText xml:space="preserve"> PAGE   \* MERGEFORMAT </w:instrText>
        </w:r>
        <w:r w:rsidR="00DA74F0" w:rsidRPr="00AF65A8">
          <w:rPr>
            <w:b/>
            <w:bCs/>
            <w:color w:val="02413D"/>
          </w:rPr>
          <w:fldChar w:fldCharType="separate"/>
        </w:r>
        <w:r w:rsidR="00DA74F0" w:rsidRPr="00AF65A8">
          <w:rPr>
            <w:b/>
            <w:bCs/>
            <w:noProof/>
            <w:color w:val="02413D"/>
          </w:rPr>
          <w:t>2</w:t>
        </w:r>
        <w:r w:rsidR="00DA74F0" w:rsidRPr="00AF65A8">
          <w:rPr>
            <w:b/>
            <w:bCs/>
            <w:noProof/>
            <w:color w:val="02413D"/>
          </w:rPr>
          <w:fldChar w:fldCharType="end"/>
        </w:r>
        <w:r w:rsidR="003B0D2F" w:rsidRPr="001542A8">
          <w:rPr>
            <w:noProof/>
            <w:color w:val="02413D"/>
          </w:rPr>
          <w:drawing>
            <wp:anchor distT="0" distB="0" distL="114300" distR="114300" simplePos="0" relativeHeight="251672576" behindDoc="1" locked="0" layoutInCell="1" allowOverlap="1" wp14:anchorId="19BC9D27" wp14:editId="08598C16">
              <wp:simplePos x="0" y="0"/>
              <wp:positionH relativeFrom="page">
                <wp:posOffset>914400</wp:posOffset>
              </wp:positionH>
              <wp:positionV relativeFrom="paragraph">
                <wp:posOffset>-635</wp:posOffset>
              </wp:positionV>
              <wp:extent cx="7978893" cy="780842"/>
              <wp:effectExtent l="0" t="0" r="3175" b="635"/>
              <wp:wrapNone/>
              <wp:docPr id="59" name="Picture 5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Chart&#10;&#10;Description automatically generated"/>
                      <pic:cNvPicPr/>
                    </pic:nvPicPr>
                    <pic:blipFill>
                      <a:blip r:embed="rId2">
                        <a:extLst>
                          <a:ext uri="{28A0092B-C50C-407E-A947-70E740481C1C}">
                            <a14:useLocalDpi xmlns:a14="http://schemas.microsoft.com/office/drawing/2010/main" val="0"/>
                          </a:ext>
                        </a:extLst>
                      </a:blip>
                      <a:srcRect t="19254" b="19254"/>
                      <a:stretch>
                        <a:fillRect/>
                      </a:stretch>
                    </pic:blipFill>
                    <pic:spPr bwMode="auto">
                      <a:xfrm>
                        <a:off x="0" y="0"/>
                        <a:ext cx="7978893" cy="78084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7909723"/>
      <w:docPartObj>
        <w:docPartGallery w:val="Page Numbers (Bottom of Page)"/>
        <w:docPartUnique/>
      </w:docPartObj>
    </w:sdtPr>
    <w:sdtEndPr>
      <w:rPr>
        <w:b/>
        <w:bCs/>
        <w:noProof/>
        <w:color w:val="02413D"/>
      </w:rPr>
    </w:sdtEndPr>
    <w:sdtContent>
      <w:p w14:paraId="25701C8C" w14:textId="77777777" w:rsidR="00BC34BD" w:rsidRPr="00744752" w:rsidRDefault="00BC34BD">
        <w:pPr>
          <w:pStyle w:val="Footer"/>
          <w:jc w:val="center"/>
          <w:rPr>
            <w:b/>
            <w:bCs/>
            <w:color w:val="02413D"/>
          </w:rPr>
        </w:pPr>
        <w:r w:rsidRPr="001542A8">
          <w:rPr>
            <w:noProof/>
            <w:color w:val="02413D"/>
          </w:rPr>
          <w:drawing>
            <wp:anchor distT="0" distB="0" distL="114300" distR="114300" simplePos="0" relativeHeight="251664384" behindDoc="1" locked="0" layoutInCell="1" allowOverlap="1" wp14:anchorId="5903F3BC" wp14:editId="4707CAA7">
              <wp:simplePos x="0" y="0"/>
              <wp:positionH relativeFrom="page">
                <wp:align>right</wp:align>
              </wp:positionH>
              <wp:positionV relativeFrom="paragraph">
                <wp:posOffset>-305435</wp:posOffset>
              </wp:positionV>
              <wp:extent cx="10692000" cy="1046356"/>
              <wp:effectExtent l="0" t="0" r="0" b="1905"/>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extLst>
                          <a:ext uri="{28A0092B-C50C-407E-A947-70E740481C1C}">
                            <a14:useLocalDpi xmlns:a14="http://schemas.microsoft.com/office/drawing/2010/main" val="0"/>
                          </a:ext>
                        </a:extLst>
                      </a:blip>
                      <a:srcRect t="6421" b="6421"/>
                      <a:stretch>
                        <a:fillRect/>
                      </a:stretch>
                    </pic:blipFill>
                    <pic:spPr bwMode="auto">
                      <a:xfrm>
                        <a:off x="0" y="0"/>
                        <a:ext cx="10692000" cy="10463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44752">
          <w:rPr>
            <w:b/>
            <w:bCs/>
            <w:color w:val="02413D"/>
          </w:rPr>
          <w:fldChar w:fldCharType="begin"/>
        </w:r>
        <w:r w:rsidRPr="00744752">
          <w:rPr>
            <w:b/>
            <w:bCs/>
            <w:color w:val="02413D"/>
          </w:rPr>
          <w:instrText xml:space="preserve"> PAGE   \* MERGEFORMAT </w:instrText>
        </w:r>
        <w:r w:rsidRPr="00744752">
          <w:rPr>
            <w:b/>
            <w:bCs/>
            <w:color w:val="02413D"/>
          </w:rPr>
          <w:fldChar w:fldCharType="separate"/>
        </w:r>
        <w:r w:rsidRPr="00744752">
          <w:rPr>
            <w:b/>
            <w:bCs/>
            <w:noProof/>
            <w:color w:val="02413D"/>
          </w:rPr>
          <w:t>2</w:t>
        </w:r>
        <w:r w:rsidRPr="00744752">
          <w:rPr>
            <w:b/>
            <w:bCs/>
            <w:noProof/>
            <w:color w:val="02413D"/>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808905"/>
      <w:docPartObj>
        <w:docPartGallery w:val="Page Numbers (Bottom of Page)"/>
        <w:docPartUnique/>
      </w:docPartObj>
    </w:sdtPr>
    <w:sdtEndPr>
      <w:rPr>
        <w:b/>
        <w:bCs/>
        <w:noProof/>
        <w:color w:val="02413D"/>
      </w:rPr>
    </w:sdtEndPr>
    <w:sdtContent>
      <w:p w14:paraId="6E3B77D2" w14:textId="343137AB" w:rsidR="00DA74F0" w:rsidRPr="00AF65A8" w:rsidRDefault="003B0D2F">
        <w:pPr>
          <w:pStyle w:val="Footer"/>
          <w:jc w:val="center"/>
          <w:rPr>
            <w:b/>
            <w:bCs/>
            <w:color w:val="02413D"/>
          </w:rPr>
        </w:pPr>
        <w:r w:rsidRPr="001542A8">
          <w:rPr>
            <w:noProof/>
            <w:color w:val="02413D"/>
          </w:rPr>
          <w:drawing>
            <wp:anchor distT="0" distB="0" distL="114300" distR="114300" simplePos="0" relativeHeight="251670528" behindDoc="1" locked="0" layoutInCell="1" allowOverlap="1" wp14:anchorId="1CFD381A" wp14:editId="70C8C3D3">
              <wp:simplePos x="0" y="0"/>
              <wp:positionH relativeFrom="page">
                <wp:posOffset>0</wp:posOffset>
              </wp:positionH>
              <wp:positionV relativeFrom="paragraph">
                <wp:posOffset>-181610</wp:posOffset>
              </wp:positionV>
              <wp:extent cx="7978893" cy="780842"/>
              <wp:effectExtent l="0" t="0" r="3175" b="635"/>
              <wp:wrapNone/>
              <wp:docPr id="56" name="Picture 5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pic:nvPicPr>
                    <pic:blipFill>
                      <a:blip r:embed="rId1">
                        <a:extLst>
                          <a:ext uri="{28A0092B-C50C-407E-A947-70E740481C1C}">
                            <a14:useLocalDpi xmlns:a14="http://schemas.microsoft.com/office/drawing/2010/main" val="0"/>
                          </a:ext>
                        </a:extLst>
                      </a:blip>
                      <a:srcRect t="19270" b="19270"/>
                      <a:stretch>
                        <a:fillRect/>
                      </a:stretch>
                    </pic:blipFill>
                    <pic:spPr bwMode="auto">
                      <a:xfrm>
                        <a:off x="0" y="0"/>
                        <a:ext cx="7978893" cy="78084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A74F0" w:rsidRPr="00AF65A8">
          <w:rPr>
            <w:b/>
            <w:bCs/>
            <w:color w:val="02413D"/>
          </w:rPr>
          <w:fldChar w:fldCharType="begin"/>
        </w:r>
        <w:r w:rsidR="00DA74F0" w:rsidRPr="00AF65A8">
          <w:rPr>
            <w:b/>
            <w:bCs/>
            <w:color w:val="02413D"/>
          </w:rPr>
          <w:instrText xml:space="preserve"> PAGE   \* MERGEFORMAT </w:instrText>
        </w:r>
        <w:r w:rsidR="00DA74F0" w:rsidRPr="00AF65A8">
          <w:rPr>
            <w:b/>
            <w:bCs/>
            <w:color w:val="02413D"/>
          </w:rPr>
          <w:fldChar w:fldCharType="separate"/>
        </w:r>
        <w:r w:rsidR="00DA74F0" w:rsidRPr="00AF65A8">
          <w:rPr>
            <w:b/>
            <w:bCs/>
            <w:noProof/>
            <w:color w:val="02413D"/>
          </w:rPr>
          <w:t>2</w:t>
        </w:r>
        <w:r w:rsidR="00DA74F0" w:rsidRPr="00AF65A8">
          <w:rPr>
            <w:b/>
            <w:bCs/>
            <w:noProof/>
            <w:color w:val="02413D"/>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5955778"/>
      <w:docPartObj>
        <w:docPartGallery w:val="Page Numbers (Bottom of Page)"/>
        <w:docPartUnique/>
      </w:docPartObj>
    </w:sdtPr>
    <w:sdtEndPr>
      <w:rPr>
        <w:b/>
        <w:bCs/>
        <w:noProof/>
        <w:color w:val="02413D"/>
      </w:rPr>
    </w:sdtEndPr>
    <w:sdtContent>
      <w:p w14:paraId="376C9511" w14:textId="730AAD43" w:rsidR="00DA74F0" w:rsidRPr="00744752" w:rsidRDefault="00DA74F0">
        <w:pPr>
          <w:pStyle w:val="Footer"/>
          <w:jc w:val="center"/>
          <w:rPr>
            <w:b/>
            <w:bCs/>
            <w:color w:val="02413D"/>
          </w:rPr>
        </w:pPr>
        <w:r w:rsidRPr="001542A8">
          <w:rPr>
            <w:noProof/>
            <w:color w:val="02413D"/>
          </w:rPr>
          <w:drawing>
            <wp:anchor distT="0" distB="0" distL="114300" distR="114300" simplePos="0" relativeHeight="251668480" behindDoc="1" locked="0" layoutInCell="1" allowOverlap="1" wp14:anchorId="7BA5D873" wp14:editId="268F5049">
              <wp:simplePos x="0" y="0"/>
              <wp:positionH relativeFrom="page">
                <wp:posOffset>0</wp:posOffset>
              </wp:positionH>
              <wp:positionV relativeFrom="paragraph">
                <wp:posOffset>-172085</wp:posOffset>
              </wp:positionV>
              <wp:extent cx="7978893" cy="780842"/>
              <wp:effectExtent l="0" t="0" r="3175" b="635"/>
              <wp:wrapNone/>
              <wp:docPr id="57" name="Picture 5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pic:nvPicPr>
                    <pic:blipFill>
                      <a:blip r:embed="rId1">
                        <a:extLst>
                          <a:ext uri="{28A0092B-C50C-407E-A947-70E740481C1C}">
                            <a14:useLocalDpi xmlns:a14="http://schemas.microsoft.com/office/drawing/2010/main" val="0"/>
                          </a:ext>
                        </a:extLst>
                      </a:blip>
                      <a:srcRect t="19270" b="19270"/>
                      <a:stretch>
                        <a:fillRect/>
                      </a:stretch>
                    </pic:blipFill>
                    <pic:spPr bwMode="auto">
                      <a:xfrm>
                        <a:off x="0" y="0"/>
                        <a:ext cx="7978893" cy="78084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44752">
          <w:rPr>
            <w:b/>
            <w:bCs/>
            <w:color w:val="02413D"/>
          </w:rPr>
          <w:fldChar w:fldCharType="begin"/>
        </w:r>
        <w:r w:rsidRPr="00744752">
          <w:rPr>
            <w:b/>
            <w:bCs/>
            <w:color w:val="02413D"/>
          </w:rPr>
          <w:instrText xml:space="preserve"> PAGE   \* MERGEFORMAT </w:instrText>
        </w:r>
        <w:r w:rsidRPr="00744752">
          <w:rPr>
            <w:b/>
            <w:bCs/>
            <w:color w:val="02413D"/>
          </w:rPr>
          <w:fldChar w:fldCharType="separate"/>
        </w:r>
        <w:r w:rsidRPr="00744752">
          <w:rPr>
            <w:b/>
            <w:bCs/>
            <w:noProof/>
            <w:color w:val="02413D"/>
          </w:rPr>
          <w:t>2</w:t>
        </w:r>
        <w:r w:rsidRPr="00744752">
          <w:rPr>
            <w:b/>
            <w:bCs/>
            <w:noProof/>
            <w:color w:val="02413D"/>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FADBA" w14:textId="77777777" w:rsidR="004C2CC3" w:rsidRDefault="004C2CC3" w:rsidP="005C6C3D">
      <w:r>
        <w:separator/>
      </w:r>
    </w:p>
  </w:footnote>
  <w:footnote w:type="continuationSeparator" w:id="0">
    <w:p w14:paraId="38A8CCE2" w14:textId="77777777" w:rsidR="004C2CC3" w:rsidRDefault="004C2CC3" w:rsidP="005C6C3D">
      <w:r>
        <w:continuationSeparator/>
      </w:r>
    </w:p>
  </w:footnote>
  <w:footnote w:type="continuationNotice" w:id="1">
    <w:p w14:paraId="38B13F26" w14:textId="77777777" w:rsidR="004C2CC3" w:rsidRDefault="004C2CC3"/>
  </w:footnote>
  <w:footnote w:id="2">
    <w:p w14:paraId="4A391D22" w14:textId="059FB45A" w:rsidR="00212842" w:rsidRPr="00212842" w:rsidRDefault="00E66445" w:rsidP="00212842">
      <w:pPr>
        <w:pStyle w:val="FootnoteText"/>
      </w:pPr>
      <w:r>
        <w:rPr>
          <w:rStyle w:val="FootnoteReference"/>
        </w:rPr>
        <w:footnoteRef/>
      </w:r>
      <w:r>
        <w:t xml:space="preserve"> The Network of Open Orgs is a coalition of </w:t>
      </w:r>
      <w:r w:rsidR="00212842">
        <w:t xml:space="preserve">organizations that meet regularly and focus on </w:t>
      </w:r>
      <w:r w:rsidR="00212842" w:rsidRPr="00212842">
        <w:t>implement</w:t>
      </w:r>
      <w:r w:rsidR="00212842">
        <w:t>ing and</w:t>
      </w:r>
      <w:r w:rsidR="00212842" w:rsidRPr="00212842">
        <w:t xml:space="preserve"> support</w:t>
      </w:r>
      <w:r w:rsidR="00212842">
        <w:t>ing</w:t>
      </w:r>
      <w:r w:rsidR="00212842" w:rsidRPr="00212842">
        <w:t xml:space="preserve"> the </w:t>
      </w:r>
      <w:hyperlink r:id="rId1" w:history="1">
        <w:r w:rsidR="00212842" w:rsidRPr="00BD2F96">
          <w:rPr>
            <w:rStyle w:val="Hyperlink"/>
          </w:rPr>
          <w:t xml:space="preserve">UNESCO </w:t>
        </w:r>
        <w:r w:rsidR="002C4EF5" w:rsidRPr="00BD2F96">
          <w:rPr>
            <w:rStyle w:val="Hyperlink"/>
          </w:rPr>
          <w:t>OER Recommendation</w:t>
        </w:r>
      </w:hyperlink>
    </w:p>
    <w:p w14:paraId="631AC4BE" w14:textId="0C1F7D84" w:rsidR="00E66445" w:rsidRDefault="00E6644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48D7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E07B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848B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9C71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4B01B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AC0E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0C5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C6D4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BB80D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8060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E06532"/>
    <w:multiLevelType w:val="hybridMultilevel"/>
    <w:tmpl w:val="FC9CAB74"/>
    <w:lvl w:ilvl="0" w:tplc="763683F0">
      <w:start w:val="1"/>
      <w:numFmt w:val="bullet"/>
      <w:lvlText w:val="-"/>
      <w:lvlJc w:val="left"/>
      <w:pPr>
        <w:ind w:left="720" w:hanging="360"/>
      </w:pPr>
      <w:rPr>
        <w:rFonts w:ascii="Open Sans" w:eastAsiaTheme="minorHAnsi" w:hAnsi="Open Sans" w:cs="Open San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08346484"/>
    <w:multiLevelType w:val="hybridMultilevel"/>
    <w:tmpl w:val="F4FE4E0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15:restartNumberingAfterBreak="0">
    <w:nsid w:val="12742344"/>
    <w:multiLevelType w:val="hybridMultilevel"/>
    <w:tmpl w:val="49C681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30F49B1"/>
    <w:multiLevelType w:val="hybridMultilevel"/>
    <w:tmpl w:val="FDAE9E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3D736E9"/>
    <w:multiLevelType w:val="multilevel"/>
    <w:tmpl w:val="AA0637B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C52629"/>
    <w:multiLevelType w:val="multilevel"/>
    <w:tmpl w:val="581A4D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2CB14AA4"/>
    <w:multiLevelType w:val="hybridMultilevel"/>
    <w:tmpl w:val="55504D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2546CFE"/>
    <w:multiLevelType w:val="hybridMultilevel"/>
    <w:tmpl w:val="3F6435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691235C"/>
    <w:multiLevelType w:val="hybridMultilevel"/>
    <w:tmpl w:val="8ED042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E95087D"/>
    <w:multiLevelType w:val="hybridMultilevel"/>
    <w:tmpl w:val="A712D2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F571CBE"/>
    <w:multiLevelType w:val="hybridMultilevel"/>
    <w:tmpl w:val="BE7C4C74"/>
    <w:lvl w:ilvl="0" w:tplc="1C090011">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1" w15:restartNumberingAfterBreak="0">
    <w:nsid w:val="457E3822"/>
    <w:multiLevelType w:val="hybridMultilevel"/>
    <w:tmpl w:val="549C3E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698095B"/>
    <w:multiLevelType w:val="hybridMultilevel"/>
    <w:tmpl w:val="CC5A30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DF86F39"/>
    <w:multiLevelType w:val="hybridMultilevel"/>
    <w:tmpl w:val="20747F44"/>
    <w:lvl w:ilvl="0" w:tplc="E2126A7E">
      <w:start w:val="1"/>
      <w:numFmt w:val="bullet"/>
      <w:pStyle w:val="Bibliography"/>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2715BF"/>
    <w:multiLevelType w:val="hybridMultilevel"/>
    <w:tmpl w:val="FE302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107187"/>
    <w:multiLevelType w:val="multilevel"/>
    <w:tmpl w:val="558EAA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56374342"/>
    <w:multiLevelType w:val="multilevel"/>
    <w:tmpl w:val="4EFC8E66"/>
    <w:lvl w:ilvl="0">
      <w:start w:val="1"/>
      <w:numFmt w:val="bullet"/>
      <w:lvlText w:val="•"/>
      <w:lvlJc w:val="left"/>
      <w:pPr>
        <w:tabs>
          <w:tab w:val="num" w:pos="357"/>
        </w:tabs>
        <w:ind w:left="357" w:hanging="357"/>
      </w:pPr>
      <w:rPr>
        <w:rFonts w:ascii="Calibri" w:hAnsi="Calibri" w:hint="default"/>
      </w:rPr>
    </w:lvl>
    <w:lvl w:ilvl="1">
      <w:start w:val="1"/>
      <w:numFmt w:val="bullet"/>
      <w:lvlText w:val="̶"/>
      <w:lvlJc w:val="left"/>
      <w:pPr>
        <w:tabs>
          <w:tab w:val="num" w:pos="720"/>
        </w:tabs>
        <w:ind w:left="720" w:hanging="363"/>
      </w:pPr>
      <w:rPr>
        <w:rFonts w:ascii="Calibri" w:hAnsi="Calibri" w:hint="default"/>
      </w:rPr>
    </w:lvl>
    <w:lvl w:ilvl="2">
      <w:start w:val="1"/>
      <w:numFmt w:val="bullet"/>
      <w:lvlText w:val="*"/>
      <w:lvlJc w:val="left"/>
      <w:pPr>
        <w:tabs>
          <w:tab w:val="num" w:pos="1077"/>
        </w:tabs>
        <w:ind w:left="1077" w:hanging="357"/>
      </w:pPr>
      <w:rPr>
        <w:rFonts w:ascii="Calibri" w:hAnsi="Calibri"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7" w15:restartNumberingAfterBreak="0">
    <w:nsid w:val="568C764E"/>
    <w:multiLevelType w:val="multilevel"/>
    <w:tmpl w:val="B6AA3F2A"/>
    <w:lvl w:ilvl="0">
      <w:start w:val="1"/>
      <w:numFmt w:val="decimal"/>
      <w:lvlText w:val="%1."/>
      <w:lvlJc w:val="left"/>
      <w:pPr>
        <w:tabs>
          <w:tab w:val="num" w:pos="360"/>
        </w:tabs>
        <w:ind w:left="360" w:hanging="360"/>
      </w:pPr>
    </w:lvl>
    <w:lvl w:ilvl="1" w:tentative="1">
      <w:numFmt w:val="decimal"/>
      <w:lvlText w:val="%2."/>
      <w:lvlJc w:val="left"/>
      <w:pPr>
        <w:tabs>
          <w:tab w:val="num" w:pos="1080"/>
        </w:tabs>
        <w:ind w:left="1080" w:hanging="360"/>
      </w:pPr>
    </w:lvl>
    <w:lvl w:ilvl="2" w:tentative="1">
      <w:numFmt w:val="decimal"/>
      <w:lvlText w:val="%3."/>
      <w:lvlJc w:val="left"/>
      <w:pPr>
        <w:tabs>
          <w:tab w:val="num" w:pos="1800"/>
        </w:tabs>
        <w:ind w:left="1800" w:hanging="360"/>
      </w:pPr>
    </w:lvl>
    <w:lvl w:ilvl="3" w:tentative="1">
      <w:numFmt w:val="decimal"/>
      <w:lvlText w:val="%4."/>
      <w:lvlJc w:val="left"/>
      <w:pPr>
        <w:tabs>
          <w:tab w:val="num" w:pos="2520"/>
        </w:tabs>
        <w:ind w:left="2520" w:hanging="360"/>
      </w:pPr>
    </w:lvl>
    <w:lvl w:ilvl="4" w:tentative="1">
      <w:numFmt w:val="decimal"/>
      <w:lvlText w:val="%5."/>
      <w:lvlJc w:val="left"/>
      <w:pPr>
        <w:tabs>
          <w:tab w:val="num" w:pos="3240"/>
        </w:tabs>
        <w:ind w:left="3240" w:hanging="360"/>
      </w:pPr>
    </w:lvl>
    <w:lvl w:ilvl="5" w:tentative="1">
      <w:numFmt w:val="decimal"/>
      <w:lvlText w:val="%6."/>
      <w:lvlJc w:val="left"/>
      <w:pPr>
        <w:tabs>
          <w:tab w:val="num" w:pos="3960"/>
        </w:tabs>
        <w:ind w:left="3960" w:hanging="360"/>
      </w:pPr>
    </w:lvl>
    <w:lvl w:ilvl="6" w:tentative="1">
      <w:numFmt w:val="decimal"/>
      <w:lvlText w:val="%7."/>
      <w:lvlJc w:val="left"/>
      <w:pPr>
        <w:tabs>
          <w:tab w:val="num" w:pos="4680"/>
        </w:tabs>
        <w:ind w:left="4680" w:hanging="360"/>
      </w:pPr>
    </w:lvl>
    <w:lvl w:ilvl="7" w:tentative="1">
      <w:numFmt w:val="decimal"/>
      <w:lvlText w:val="%8."/>
      <w:lvlJc w:val="left"/>
      <w:pPr>
        <w:tabs>
          <w:tab w:val="num" w:pos="5400"/>
        </w:tabs>
        <w:ind w:left="5400" w:hanging="360"/>
      </w:pPr>
    </w:lvl>
    <w:lvl w:ilvl="8" w:tentative="1">
      <w:numFmt w:val="decimal"/>
      <w:lvlText w:val="%9."/>
      <w:lvlJc w:val="left"/>
      <w:pPr>
        <w:tabs>
          <w:tab w:val="num" w:pos="6120"/>
        </w:tabs>
        <w:ind w:left="6120" w:hanging="360"/>
      </w:pPr>
    </w:lvl>
  </w:abstractNum>
  <w:abstractNum w:abstractNumId="28" w15:restartNumberingAfterBreak="0">
    <w:nsid w:val="5B5F25D6"/>
    <w:multiLevelType w:val="hybridMultilevel"/>
    <w:tmpl w:val="9ADEC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CF57855"/>
    <w:multiLevelType w:val="hybridMultilevel"/>
    <w:tmpl w:val="647C6C44"/>
    <w:lvl w:ilvl="0" w:tplc="7E620E74">
      <w:start w:val="1"/>
      <w:numFmt w:val="decimal"/>
      <w:pStyle w:val="TableReference"/>
      <w:lvlText w:val="Table %1"/>
      <w:lvlJc w:val="left"/>
      <w:pPr>
        <w:tabs>
          <w:tab w:val="num" w:pos="1021"/>
        </w:tabs>
        <w:ind w:left="1021" w:hanging="102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E6751E8"/>
    <w:multiLevelType w:val="hybridMultilevel"/>
    <w:tmpl w:val="FE3271D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E9535FC"/>
    <w:multiLevelType w:val="hybridMultilevel"/>
    <w:tmpl w:val="6D7E00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0F27BAC"/>
    <w:multiLevelType w:val="hybridMultilevel"/>
    <w:tmpl w:val="58E0E056"/>
    <w:lvl w:ilvl="0" w:tplc="BEB81CE2">
      <w:start w:val="1"/>
      <w:numFmt w:val="decimal"/>
      <w:pStyle w:val="FigureReference"/>
      <w:lvlText w:val="Figure %1"/>
      <w:lvlJc w:val="left"/>
      <w:pPr>
        <w:ind w:left="907" w:hanging="907"/>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40133F2"/>
    <w:multiLevelType w:val="hybridMultilevel"/>
    <w:tmpl w:val="FBC2F6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4376E49"/>
    <w:multiLevelType w:val="hybridMultilevel"/>
    <w:tmpl w:val="370E83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4AF5E39"/>
    <w:multiLevelType w:val="hybridMultilevel"/>
    <w:tmpl w:val="D28E0C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B0851AE"/>
    <w:multiLevelType w:val="hybridMultilevel"/>
    <w:tmpl w:val="AC061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C69596C"/>
    <w:multiLevelType w:val="hybridMultilevel"/>
    <w:tmpl w:val="77A448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1D13111"/>
    <w:multiLevelType w:val="hybridMultilevel"/>
    <w:tmpl w:val="173A668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9" w15:restartNumberingAfterBreak="0">
    <w:nsid w:val="7EBA01B6"/>
    <w:multiLevelType w:val="hybridMultilevel"/>
    <w:tmpl w:val="A24253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8794044">
    <w:abstractNumId w:val="23"/>
  </w:num>
  <w:num w:numId="2" w16cid:durableId="1705447386">
    <w:abstractNumId w:val="32"/>
  </w:num>
  <w:num w:numId="3" w16cid:durableId="1813019940">
    <w:abstractNumId w:val="29"/>
  </w:num>
  <w:num w:numId="4" w16cid:durableId="959533116">
    <w:abstractNumId w:val="32"/>
  </w:num>
  <w:num w:numId="5" w16cid:durableId="1583755225">
    <w:abstractNumId w:val="26"/>
  </w:num>
  <w:num w:numId="6" w16cid:durableId="1306861873">
    <w:abstractNumId w:val="20"/>
  </w:num>
  <w:num w:numId="7" w16cid:durableId="2100327545">
    <w:abstractNumId w:val="38"/>
  </w:num>
  <w:num w:numId="8" w16cid:durableId="1080830965">
    <w:abstractNumId w:val="11"/>
  </w:num>
  <w:num w:numId="9" w16cid:durableId="263153630">
    <w:abstractNumId w:val="10"/>
  </w:num>
  <w:num w:numId="10" w16cid:durableId="1660769586">
    <w:abstractNumId w:val="15"/>
  </w:num>
  <w:num w:numId="11" w16cid:durableId="910894937">
    <w:abstractNumId w:val="9"/>
  </w:num>
  <w:num w:numId="12" w16cid:durableId="1105689496">
    <w:abstractNumId w:val="7"/>
  </w:num>
  <w:num w:numId="13" w16cid:durableId="1247417824">
    <w:abstractNumId w:val="6"/>
  </w:num>
  <w:num w:numId="14" w16cid:durableId="330641039">
    <w:abstractNumId w:val="5"/>
  </w:num>
  <w:num w:numId="15" w16cid:durableId="246502245">
    <w:abstractNumId w:val="4"/>
  </w:num>
  <w:num w:numId="16" w16cid:durableId="1404177703">
    <w:abstractNumId w:val="8"/>
  </w:num>
  <w:num w:numId="17" w16cid:durableId="638848592">
    <w:abstractNumId w:val="3"/>
  </w:num>
  <w:num w:numId="18" w16cid:durableId="2132087756">
    <w:abstractNumId w:val="2"/>
  </w:num>
  <w:num w:numId="19" w16cid:durableId="1360937648">
    <w:abstractNumId w:val="1"/>
  </w:num>
  <w:num w:numId="20" w16cid:durableId="503936098">
    <w:abstractNumId w:val="0"/>
  </w:num>
  <w:num w:numId="21" w16cid:durableId="2052874208">
    <w:abstractNumId w:val="17"/>
  </w:num>
  <w:num w:numId="22" w16cid:durableId="1422677716">
    <w:abstractNumId w:val="33"/>
  </w:num>
  <w:num w:numId="23" w16cid:durableId="1258438560">
    <w:abstractNumId w:val="18"/>
  </w:num>
  <w:num w:numId="24" w16cid:durableId="1601134564">
    <w:abstractNumId w:val="35"/>
  </w:num>
  <w:num w:numId="25" w16cid:durableId="1464076576">
    <w:abstractNumId w:val="25"/>
  </w:num>
  <w:num w:numId="26" w16cid:durableId="287511271">
    <w:abstractNumId w:val="37"/>
  </w:num>
  <w:num w:numId="27" w16cid:durableId="1871992152">
    <w:abstractNumId w:val="31"/>
  </w:num>
  <w:num w:numId="28" w16cid:durableId="350837971">
    <w:abstractNumId w:val="27"/>
  </w:num>
  <w:num w:numId="29" w16cid:durableId="1948652512">
    <w:abstractNumId w:val="14"/>
  </w:num>
  <w:num w:numId="30" w16cid:durableId="828978706">
    <w:abstractNumId w:val="39"/>
  </w:num>
  <w:num w:numId="31" w16cid:durableId="506098914">
    <w:abstractNumId w:val="30"/>
  </w:num>
  <w:num w:numId="32" w16cid:durableId="934365742">
    <w:abstractNumId w:val="34"/>
  </w:num>
  <w:num w:numId="33" w16cid:durableId="53045539">
    <w:abstractNumId w:val="19"/>
  </w:num>
  <w:num w:numId="34" w16cid:durableId="749733947">
    <w:abstractNumId w:val="28"/>
  </w:num>
  <w:num w:numId="35" w16cid:durableId="749354149">
    <w:abstractNumId w:val="16"/>
  </w:num>
  <w:num w:numId="36" w16cid:durableId="1969890631">
    <w:abstractNumId w:val="12"/>
  </w:num>
  <w:num w:numId="37" w16cid:durableId="250740955">
    <w:abstractNumId w:val="21"/>
  </w:num>
  <w:num w:numId="38" w16cid:durableId="401100826">
    <w:abstractNumId w:val="24"/>
  </w:num>
  <w:num w:numId="39" w16cid:durableId="502361336">
    <w:abstractNumId w:val="22"/>
  </w:num>
  <w:num w:numId="40" w16cid:durableId="1916549343">
    <w:abstractNumId w:val="13"/>
  </w:num>
  <w:num w:numId="41" w16cid:durableId="1381782189">
    <w:abstractNumId w:val="3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GridTable1Light-Accent1"/>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05A"/>
    <w:rsid w:val="00005B37"/>
    <w:rsid w:val="00007D35"/>
    <w:rsid w:val="000105D2"/>
    <w:rsid w:val="000111B1"/>
    <w:rsid w:val="00012928"/>
    <w:rsid w:val="00015C6A"/>
    <w:rsid w:val="00015FEB"/>
    <w:rsid w:val="000175E2"/>
    <w:rsid w:val="00020A8A"/>
    <w:rsid w:val="00021493"/>
    <w:rsid w:val="00024C45"/>
    <w:rsid w:val="00036015"/>
    <w:rsid w:val="00037917"/>
    <w:rsid w:val="000471D2"/>
    <w:rsid w:val="000508BE"/>
    <w:rsid w:val="00051AA9"/>
    <w:rsid w:val="00056347"/>
    <w:rsid w:val="00061936"/>
    <w:rsid w:val="00065AF3"/>
    <w:rsid w:val="00067984"/>
    <w:rsid w:val="000705E6"/>
    <w:rsid w:val="00076D57"/>
    <w:rsid w:val="00083C03"/>
    <w:rsid w:val="000A0168"/>
    <w:rsid w:val="000A440E"/>
    <w:rsid w:val="000A4FD0"/>
    <w:rsid w:val="000B31B9"/>
    <w:rsid w:val="000B32A4"/>
    <w:rsid w:val="000B443D"/>
    <w:rsid w:val="000B52CB"/>
    <w:rsid w:val="000B544B"/>
    <w:rsid w:val="000B54D2"/>
    <w:rsid w:val="000C21F6"/>
    <w:rsid w:val="000D4A30"/>
    <w:rsid w:val="000D5FC9"/>
    <w:rsid w:val="000E15E8"/>
    <w:rsid w:val="000E48BA"/>
    <w:rsid w:val="000F403B"/>
    <w:rsid w:val="00102686"/>
    <w:rsid w:val="00103AD8"/>
    <w:rsid w:val="00117C9A"/>
    <w:rsid w:val="001209AA"/>
    <w:rsid w:val="00122F92"/>
    <w:rsid w:val="00137194"/>
    <w:rsid w:val="00141199"/>
    <w:rsid w:val="0014416F"/>
    <w:rsid w:val="00144B75"/>
    <w:rsid w:val="001471FB"/>
    <w:rsid w:val="001542A8"/>
    <w:rsid w:val="00166F3E"/>
    <w:rsid w:val="0016755C"/>
    <w:rsid w:val="00167AA5"/>
    <w:rsid w:val="00171FF3"/>
    <w:rsid w:val="001774DC"/>
    <w:rsid w:val="001808A2"/>
    <w:rsid w:val="0018787F"/>
    <w:rsid w:val="00191E86"/>
    <w:rsid w:val="0019598C"/>
    <w:rsid w:val="001978EF"/>
    <w:rsid w:val="001A03D0"/>
    <w:rsid w:val="001A0E3E"/>
    <w:rsid w:val="001A205A"/>
    <w:rsid w:val="001A3DAD"/>
    <w:rsid w:val="001A3FF9"/>
    <w:rsid w:val="001A5A18"/>
    <w:rsid w:val="001A74C7"/>
    <w:rsid w:val="001B3F13"/>
    <w:rsid w:val="001B5BB6"/>
    <w:rsid w:val="001C69F2"/>
    <w:rsid w:val="001E4024"/>
    <w:rsid w:val="001F2BCD"/>
    <w:rsid w:val="001F2F9C"/>
    <w:rsid w:val="00212842"/>
    <w:rsid w:val="00220AB6"/>
    <w:rsid w:val="00222109"/>
    <w:rsid w:val="002271D7"/>
    <w:rsid w:val="002361A9"/>
    <w:rsid w:val="00237BA1"/>
    <w:rsid w:val="0024060C"/>
    <w:rsid w:val="002413D0"/>
    <w:rsid w:val="00247DA6"/>
    <w:rsid w:val="002771E6"/>
    <w:rsid w:val="00282BCB"/>
    <w:rsid w:val="002907A3"/>
    <w:rsid w:val="00290EA8"/>
    <w:rsid w:val="00293B75"/>
    <w:rsid w:val="00297304"/>
    <w:rsid w:val="002A184F"/>
    <w:rsid w:val="002A4EA9"/>
    <w:rsid w:val="002B3BA6"/>
    <w:rsid w:val="002B473D"/>
    <w:rsid w:val="002C4EF5"/>
    <w:rsid w:val="002D489C"/>
    <w:rsid w:val="002E17B6"/>
    <w:rsid w:val="002E35EA"/>
    <w:rsid w:val="002F211A"/>
    <w:rsid w:val="002F29F2"/>
    <w:rsid w:val="002F41D2"/>
    <w:rsid w:val="002F63B7"/>
    <w:rsid w:val="0031237E"/>
    <w:rsid w:val="0031671E"/>
    <w:rsid w:val="0031787F"/>
    <w:rsid w:val="00321528"/>
    <w:rsid w:val="00325E4B"/>
    <w:rsid w:val="003268C4"/>
    <w:rsid w:val="00330891"/>
    <w:rsid w:val="00337DDF"/>
    <w:rsid w:val="003438DC"/>
    <w:rsid w:val="00346849"/>
    <w:rsid w:val="00365CF8"/>
    <w:rsid w:val="003712A0"/>
    <w:rsid w:val="00375BAE"/>
    <w:rsid w:val="00382C85"/>
    <w:rsid w:val="003844D9"/>
    <w:rsid w:val="00384AAA"/>
    <w:rsid w:val="003855C1"/>
    <w:rsid w:val="00385758"/>
    <w:rsid w:val="00387FD8"/>
    <w:rsid w:val="00397C8F"/>
    <w:rsid w:val="003A00AA"/>
    <w:rsid w:val="003A29D4"/>
    <w:rsid w:val="003A6048"/>
    <w:rsid w:val="003A6DF8"/>
    <w:rsid w:val="003B0D2F"/>
    <w:rsid w:val="003B1CED"/>
    <w:rsid w:val="003B2978"/>
    <w:rsid w:val="003B3B9F"/>
    <w:rsid w:val="003C46A2"/>
    <w:rsid w:val="003D40FB"/>
    <w:rsid w:val="003D7CBD"/>
    <w:rsid w:val="003E5A46"/>
    <w:rsid w:val="003F1A51"/>
    <w:rsid w:val="003F245E"/>
    <w:rsid w:val="003F37D9"/>
    <w:rsid w:val="003F642B"/>
    <w:rsid w:val="0040084F"/>
    <w:rsid w:val="004126CD"/>
    <w:rsid w:val="00414B4C"/>
    <w:rsid w:val="00414EBF"/>
    <w:rsid w:val="0041679F"/>
    <w:rsid w:val="004175E9"/>
    <w:rsid w:val="00421D89"/>
    <w:rsid w:val="0042205A"/>
    <w:rsid w:val="00424A8F"/>
    <w:rsid w:val="004305D9"/>
    <w:rsid w:val="00435485"/>
    <w:rsid w:val="004515F9"/>
    <w:rsid w:val="00455166"/>
    <w:rsid w:val="00461B3E"/>
    <w:rsid w:val="004747EF"/>
    <w:rsid w:val="0047760D"/>
    <w:rsid w:val="004850BB"/>
    <w:rsid w:val="00486993"/>
    <w:rsid w:val="0049039F"/>
    <w:rsid w:val="004904E6"/>
    <w:rsid w:val="004916EF"/>
    <w:rsid w:val="00494519"/>
    <w:rsid w:val="0049509D"/>
    <w:rsid w:val="0049581E"/>
    <w:rsid w:val="004B6A5C"/>
    <w:rsid w:val="004C2CC3"/>
    <w:rsid w:val="004C6522"/>
    <w:rsid w:val="004D0A53"/>
    <w:rsid w:val="004D2139"/>
    <w:rsid w:val="004D5A7C"/>
    <w:rsid w:val="004E3F56"/>
    <w:rsid w:val="004E5A37"/>
    <w:rsid w:val="005005C1"/>
    <w:rsid w:val="00500EBA"/>
    <w:rsid w:val="005115FA"/>
    <w:rsid w:val="0051437E"/>
    <w:rsid w:val="0051746B"/>
    <w:rsid w:val="00524E49"/>
    <w:rsid w:val="0052617E"/>
    <w:rsid w:val="00537362"/>
    <w:rsid w:val="005464BC"/>
    <w:rsid w:val="00552085"/>
    <w:rsid w:val="005568BD"/>
    <w:rsid w:val="00563229"/>
    <w:rsid w:val="00565171"/>
    <w:rsid w:val="005652AA"/>
    <w:rsid w:val="00566C67"/>
    <w:rsid w:val="00566F7E"/>
    <w:rsid w:val="00596661"/>
    <w:rsid w:val="00597AD6"/>
    <w:rsid w:val="005B1723"/>
    <w:rsid w:val="005B35CE"/>
    <w:rsid w:val="005B426D"/>
    <w:rsid w:val="005B7216"/>
    <w:rsid w:val="005B72AB"/>
    <w:rsid w:val="005C23C6"/>
    <w:rsid w:val="005C26AB"/>
    <w:rsid w:val="005C55D1"/>
    <w:rsid w:val="005C5ECE"/>
    <w:rsid w:val="005C6C3D"/>
    <w:rsid w:val="005D3CD7"/>
    <w:rsid w:val="005E2817"/>
    <w:rsid w:val="005E5A48"/>
    <w:rsid w:val="005E66BC"/>
    <w:rsid w:val="005F42BF"/>
    <w:rsid w:val="005F5BDE"/>
    <w:rsid w:val="005F7F29"/>
    <w:rsid w:val="0061049A"/>
    <w:rsid w:val="00614B9C"/>
    <w:rsid w:val="006175CE"/>
    <w:rsid w:val="00621518"/>
    <w:rsid w:val="00627830"/>
    <w:rsid w:val="006307C9"/>
    <w:rsid w:val="0064280A"/>
    <w:rsid w:val="006515F9"/>
    <w:rsid w:val="00654BE1"/>
    <w:rsid w:val="006565C9"/>
    <w:rsid w:val="00656D07"/>
    <w:rsid w:val="00661BAC"/>
    <w:rsid w:val="00664232"/>
    <w:rsid w:val="00667B64"/>
    <w:rsid w:val="00684926"/>
    <w:rsid w:val="00684A13"/>
    <w:rsid w:val="00687CA0"/>
    <w:rsid w:val="006913A2"/>
    <w:rsid w:val="00691C24"/>
    <w:rsid w:val="00697C21"/>
    <w:rsid w:val="006B173A"/>
    <w:rsid w:val="006B3E8F"/>
    <w:rsid w:val="006B6BA4"/>
    <w:rsid w:val="006C48B1"/>
    <w:rsid w:val="006C621E"/>
    <w:rsid w:val="006C6967"/>
    <w:rsid w:val="006D0E14"/>
    <w:rsid w:val="006E2B1C"/>
    <w:rsid w:val="006E321B"/>
    <w:rsid w:val="006F1C59"/>
    <w:rsid w:val="006F26AA"/>
    <w:rsid w:val="006F3476"/>
    <w:rsid w:val="006F3E61"/>
    <w:rsid w:val="00703C5E"/>
    <w:rsid w:val="007066D0"/>
    <w:rsid w:val="00712033"/>
    <w:rsid w:val="007120F1"/>
    <w:rsid w:val="00717686"/>
    <w:rsid w:val="0072103F"/>
    <w:rsid w:val="00724A9E"/>
    <w:rsid w:val="00726718"/>
    <w:rsid w:val="00726FFB"/>
    <w:rsid w:val="00741996"/>
    <w:rsid w:val="007422EB"/>
    <w:rsid w:val="00742CAC"/>
    <w:rsid w:val="00742CEC"/>
    <w:rsid w:val="00744752"/>
    <w:rsid w:val="00757C79"/>
    <w:rsid w:val="00764E85"/>
    <w:rsid w:val="00765486"/>
    <w:rsid w:val="0076719B"/>
    <w:rsid w:val="007677EF"/>
    <w:rsid w:val="007752A9"/>
    <w:rsid w:val="00782951"/>
    <w:rsid w:val="00783C78"/>
    <w:rsid w:val="0078768D"/>
    <w:rsid w:val="00790C2C"/>
    <w:rsid w:val="00792FA1"/>
    <w:rsid w:val="00793433"/>
    <w:rsid w:val="0079525B"/>
    <w:rsid w:val="007971ED"/>
    <w:rsid w:val="007A11A1"/>
    <w:rsid w:val="007A394F"/>
    <w:rsid w:val="007A6037"/>
    <w:rsid w:val="007B5292"/>
    <w:rsid w:val="007B7EAD"/>
    <w:rsid w:val="007C0EEB"/>
    <w:rsid w:val="007C3975"/>
    <w:rsid w:val="007C4BB0"/>
    <w:rsid w:val="007D4297"/>
    <w:rsid w:val="007D5F5A"/>
    <w:rsid w:val="007D74D9"/>
    <w:rsid w:val="007F287C"/>
    <w:rsid w:val="007F3B68"/>
    <w:rsid w:val="00815EF6"/>
    <w:rsid w:val="008245A4"/>
    <w:rsid w:val="00827D54"/>
    <w:rsid w:val="00830960"/>
    <w:rsid w:val="00830A25"/>
    <w:rsid w:val="00831750"/>
    <w:rsid w:val="00836A68"/>
    <w:rsid w:val="00853049"/>
    <w:rsid w:val="00854D05"/>
    <w:rsid w:val="00856AC9"/>
    <w:rsid w:val="00862396"/>
    <w:rsid w:val="0086254A"/>
    <w:rsid w:val="00866B9D"/>
    <w:rsid w:val="0088126E"/>
    <w:rsid w:val="00882B62"/>
    <w:rsid w:val="0088790A"/>
    <w:rsid w:val="0089123E"/>
    <w:rsid w:val="008920CC"/>
    <w:rsid w:val="008A1096"/>
    <w:rsid w:val="008A77A8"/>
    <w:rsid w:val="008B004A"/>
    <w:rsid w:val="008B2DCB"/>
    <w:rsid w:val="008B3DA1"/>
    <w:rsid w:val="008B425B"/>
    <w:rsid w:val="008B44D0"/>
    <w:rsid w:val="008B44F2"/>
    <w:rsid w:val="008B5324"/>
    <w:rsid w:val="008C1193"/>
    <w:rsid w:val="008D0F32"/>
    <w:rsid w:val="008D246F"/>
    <w:rsid w:val="008E3B60"/>
    <w:rsid w:val="008E4170"/>
    <w:rsid w:val="008F1580"/>
    <w:rsid w:val="008F1F06"/>
    <w:rsid w:val="008F3DF8"/>
    <w:rsid w:val="009061B2"/>
    <w:rsid w:val="00906675"/>
    <w:rsid w:val="00913F28"/>
    <w:rsid w:val="00915496"/>
    <w:rsid w:val="009167B1"/>
    <w:rsid w:val="00917A36"/>
    <w:rsid w:val="00920629"/>
    <w:rsid w:val="00924652"/>
    <w:rsid w:val="009249D5"/>
    <w:rsid w:val="00930A7E"/>
    <w:rsid w:val="0093188A"/>
    <w:rsid w:val="00941B60"/>
    <w:rsid w:val="00942D62"/>
    <w:rsid w:val="009450FB"/>
    <w:rsid w:val="009464E1"/>
    <w:rsid w:val="00951893"/>
    <w:rsid w:val="009531A4"/>
    <w:rsid w:val="009573A3"/>
    <w:rsid w:val="00964B10"/>
    <w:rsid w:val="00965205"/>
    <w:rsid w:val="00965BD0"/>
    <w:rsid w:val="009702E5"/>
    <w:rsid w:val="0097181C"/>
    <w:rsid w:val="00971A96"/>
    <w:rsid w:val="00975712"/>
    <w:rsid w:val="00986EAA"/>
    <w:rsid w:val="009963C9"/>
    <w:rsid w:val="009969B4"/>
    <w:rsid w:val="009972AB"/>
    <w:rsid w:val="009A1DC8"/>
    <w:rsid w:val="009A449C"/>
    <w:rsid w:val="009A7AC1"/>
    <w:rsid w:val="009B3074"/>
    <w:rsid w:val="009B7070"/>
    <w:rsid w:val="009C201C"/>
    <w:rsid w:val="009C2820"/>
    <w:rsid w:val="009C5079"/>
    <w:rsid w:val="009D0951"/>
    <w:rsid w:val="009D1E2A"/>
    <w:rsid w:val="009D52E6"/>
    <w:rsid w:val="009D7FB6"/>
    <w:rsid w:val="009E6332"/>
    <w:rsid w:val="00A04F06"/>
    <w:rsid w:val="00A06FB6"/>
    <w:rsid w:val="00A137D5"/>
    <w:rsid w:val="00A1619F"/>
    <w:rsid w:val="00A16DD1"/>
    <w:rsid w:val="00A24A5E"/>
    <w:rsid w:val="00A334D6"/>
    <w:rsid w:val="00A33FC7"/>
    <w:rsid w:val="00A35B54"/>
    <w:rsid w:val="00A464FC"/>
    <w:rsid w:val="00A50252"/>
    <w:rsid w:val="00A5378A"/>
    <w:rsid w:val="00A54C65"/>
    <w:rsid w:val="00A5516D"/>
    <w:rsid w:val="00A57031"/>
    <w:rsid w:val="00A57171"/>
    <w:rsid w:val="00A676C3"/>
    <w:rsid w:val="00A82EEE"/>
    <w:rsid w:val="00A865F8"/>
    <w:rsid w:val="00AA044B"/>
    <w:rsid w:val="00AA19D9"/>
    <w:rsid w:val="00AA534F"/>
    <w:rsid w:val="00AB5225"/>
    <w:rsid w:val="00AB6C56"/>
    <w:rsid w:val="00AC1553"/>
    <w:rsid w:val="00AC18FA"/>
    <w:rsid w:val="00AC63A1"/>
    <w:rsid w:val="00AE2F58"/>
    <w:rsid w:val="00AE3BC9"/>
    <w:rsid w:val="00AF5FEE"/>
    <w:rsid w:val="00AF65A8"/>
    <w:rsid w:val="00B10C6B"/>
    <w:rsid w:val="00B12B30"/>
    <w:rsid w:val="00B2111E"/>
    <w:rsid w:val="00B22743"/>
    <w:rsid w:val="00B26E66"/>
    <w:rsid w:val="00B36BB3"/>
    <w:rsid w:val="00B4012F"/>
    <w:rsid w:val="00B4511F"/>
    <w:rsid w:val="00B456E3"/>
    <w:rsid w:val="00B50134"/>
    <w:rsid w:val="00B53A50"/>
    <w:rsid w:val="00B71D34"/>
    <w:rsid w:val="00B81336"/>
    <w:rsid w:val="00B85CB6"/>
    <w:rsid w:val="00B9241E"/>
    <w:rsid w:val="00B94644"/>
    <w:rsid w:val="00BA3C34"/>
    <w:rsid w:val="00BB13EA"/>
    <w:rsid w:val="00BB24CB"/>
    <w:rsid w:val="00BC0F16"/>
    <w:rsid w:val="00BC346F"/>
    <w:rsid w:val="00BC34BD"/>
    <w:rsid w:val="00BC56E8"/>
    <w:rsid w:val="00BC7D32"/>
    <w:rsid w:val="00BD0300"/>
    <w:rsid w:val="00BD101D"/>
    <w:rsid w:val="00BD2F96"/>
    <w:rsid w:val="00BD34EB"/>
    <w:rsid w:val="00BD3D27"/>
    <w:rsid w:val="00BD765E"/>
    <w:rsid w:val="00BE38DF"/>
    <w:rsid w:val="00BF5450"/>
    <w:rsid w:val="00BF6DDA"/>
    <w:rsid w:val="00C02AB1"/>
    <w:rsid w:val="00C0503A"/>
    <w:rsid w:val="00C14C65"/>
    <w:rsid w:val="00C2244C"/>
    <w:rsid w:val="00C24453"/>
    <w:rsid w:val="00C24D6D"/>
    <w:rsid w:val="00C26EE7"/>
    <w:rsid w:val="00C273B4"/>
    <w:rsid w:val="00C307CF"/>
    <w:rsid w:val="00C34A04"/>
    <w:rsid w:val="00C36BB0"/>
    <w:rsid w:val="00C42C43"/>
    <w:rsid w:val="00C46B9F"/>
    <w:rsid w:val="00C63C2E"/>
    <w:rsid w:val="00C644FC"/>
    <w:rsid w:val="00C82787"/>
    <w:rsid w:val="00C87E5D"/>
    <w:rsid w:val="00C91006"/>
    <w:rsid w:val="00C91979"/>
    <w:rsid w:val="00C93A7F"/>
    <w:rsid w:val="00C94B5E"/>
    <w:rsid w:val="00C97C34"/>
    <w:rsid w:val="00CA0326"/>
    <w:rsid w:val="00CA3721"/>
    <w:rsid w:val="00CA5909"/>
    <w:rsid w:val="00CB2C38"/>
    <w:rsid w:val="00CB45CD"/>
    <w:rsid w:val="00CC02C7"/>
    <w:rsid w:val="00CC1899"/>
    <w:rsid w:val="00CD014F"/>
    <w:rsid w:val="00CD2750"/>
    <w:rsid w:val="00CE2289"/>
    <w:rsid w:val="00CE377F"/>
    <w:rsid w:val="00CE4AA5"/>
    <w:rsid w:val="00CE7E5E"/>
    <w:rsid w:val="00CF1507"/>
    <w:rsid w:val="00CF50A8"/>
    <w:rsid w:val="00CF5F42"/>
    <w:rsid w:val="00D07193"/>
    <w:rsid w:val="00D07994"/>
    <w:rsid w:val="00D11794"/>
    <w:rsid w:val="00D23C98"/>
    <w:rsid w:val="00D31861"/>
    <w:rsid w:val="00D3517A"/>
    <w:rsid w:val="00D3631B"/>
    <w:rsid w:val="00D406E8"/>
    <w:rsid w:val="00D40CD6"/>
    <w:rsid w:val="00D40E43"/>
    <w:rsid w:val="00D4514E"/>
    <w:rsid w:val="00D47A30"/>
    <w:rsid w:val="00D51097"/>
    <w:rsid w:val="00D62BA4"/>
    <w:rsid w:val="00D64E76"/>
    <w:rsid w:val="00D70A32"/>
    <w:rsid w:val="00D731CB"/>
    <w:rsid w:val="00D73434"/>
    <w:rsid w:val="00D74267"/>
    <w:rsid w:val="00D8238F"/>
    <w:rsid w:val="00D82FAC"/>
    <w:rsid w:val="00D838FC"/>
    <w:rsid w:val="00D90744"/>
    <w:rsid w:val="00D90F66"/>
    <w:rsid w:val="00D96E3A"/>
    <w:rsid w:val="00D97C3E"/>
    <w:rsid w:val="00D97ED3"/>
    <w:rsid w:val="00DA4E93"/>
    <w:rsid w:val="00DA695F"/>
    <w:rsid w:val="00DA74F0"/>
    <w:rsid w:val="00DB1078"/>
    <w:rsid w:val="00DB1CEE"/>
    <w:rsid w:val="00DB44ED"/>
    <w:rsid w:val="00DC6C64"/>
    <w:rsid w:val="00DF5D53"/>
    <w:rsid w:val="00E043F7"/>
    <w:rsid w:val="00E04683"/>
    <w:rsid w:val="00E04F8C"/>
    <w:rsid w:val="00E10266"/>
    <w:rsid w:val="00E13885"/>
    <w:rsid w:val="00E249CD"/>
    <w:rsid w:val="00E2628A"/>
    <w:rsid w:val="00E31CBD"/>
    <w:rsid w:val="00E323B4"/>
    <w:rsid w:val="00E33F57"/>
    <w:rsid w:val="00E42D65"/>
    <w:rsid w:val="00E43699"/>
    <w:rsid w:val="00E53402"/>
    <w:rsid w:val="00E561C7"/>
    <w:rsid w:val="00E607DE"/>
    <w:rsid w:val="00E66445"/>
    <w:rsid w:val="00E71428"/>
    <w:rsid w:val="00E779A4"/>
    <w:rsid w:val="00E8012F"/>
    <w:rsid w:val="00E82115"/>
    <w:rsid w:val="00E82BCB"/>
    <w:rsid w:val="00E83CA1"/>
    <w:rsid w:val="00E85726"/>
    <w:rsid w:val="00E96859"/>
    <w:rsid w:val="00EA1EF5"/>
    <w:rsid w:val="00EB6476"/>
    <w:rsid w:val="00EC430B"/>
    <w:rsid w:val="00EC50C4"/>
    <w:rsid w:val="00ED02DE"/>
    <w:rsid w:val="00ED0B8D"/>
    <w:rsid w:val="00EE027B"/>
    <w:rsid w:val="00EE134A"/>
    <w:rsid w:val="00EE14DD"/>
    <w:rsid w:val="00EE1589"/>
    <w:rsid w:val="00EE5D0A"/>
    <w:rsid w:val="00EE733C"/>
    <w:rsid w:val="00EE7E6D"/>
    <w:rsid w:val="00EF3BEE"/>
    <w:rsid w:val="00EF5A24"/>
    <w:rsid w:val="00EF62F6"/>
    <w:rsid w:val="00F10025"/>
    <w:rsid w:val="00F2411F"/>
    <w:rsid w:val="00F27EBA"/>
    <w:rsid w:val="00F3178C"/>
    <w:rsid w:val="00F45545"/>
    <w:rsid w:val="00F5011E"/>
    <w:rsid w:val="00F60318"/>
    <w:rsid w:val="00F64370"/>
    <w:rsid w:val="00F64746"/>
    <w:rsid w:val="00F74C7B"/>
    <w:rsid w:val="00F76D72"/>
    <w:rsid w:val="00F77555"/>
    <w:rsid w:val="00F81C3C"/>
    <w:rsid w:val="00F81CF1"/>
    <w:rsid w:val="00F82CB9"/>
    <w:rsid w:val="00F83BA5"/>
    <w:rsid w:val="00F86AE2"/>
    <w:rsid w:val="00F87157"/>
    <w:rsid w:val="00FA1D0C"/>
    <w:rsid w:val="00FA70FF"/>
    <w:rsid w:val="00FC4787"/>
    <w:rsid w:val="00FC68E6"/>
    <w:rsid w:val="00FC7397"/>
    <w:rsid w:val="00FD2A99"/>
    <w:rsid w:val="00FE12E4"/>
    <w:rsid w:val="00FE272E"/>
    <w:rsid w:val="00FE563B"/>
    <w:rsid w:val="00FE7EC6"/>
    <w:rsid w:val="00FF09A0"/>
    <w:rsid w:val="00FF0D5C"/>
    <w:rsid w:val="00FF3744"/>
    <w:rsid w:val="037C3AE6"/>
    <w:rsid w:val="04074C21"/>
    <w:rsid w:val="09ADF2ED"/>
    <w:rsid w:val="163953F9"/>
    <w:rsid w:val="29C6BD37"/>
    <w:rsid w:val="2FCDBD3D"/>
    <w:rsid w:val="353C1EB0"/>
    <w:rsid w:val="493DDFD3"/>
    <w:rsid w:val="49DCC633"/>
    <w:rsid w:val="54BC6850"/>
    <w:rsid w:val="6572A708"/>
    <w:rsid w:val="735A55BF"/>
    <w:rsid w:val="7EB2D6C4"/>
  </w:rsids>
  <m:mathPr>
    <m:mathFont m:val="Cambria Math"/>
    <m:brkBin m:val="before"/>
    <m:brkBinSub m:val="--"/>
    <m:smallFrac m:val="0"/>
    <m:dispDef/>
    <m:lMargin m:val="0"/>
    <m:rMargin m:val="0"/>
    <m:defJc m:val="centerGroup"/>
    <m:wrapIndent m:val="1440"/>
    <m:intLim m:val="subSup"/>
    <m:naryLim m:val="undOvr"/>
  </m:mathPr>
  <w:themeFontLang w:val="en-ZA"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CBD22"/>
  <w15:docId w15:val="{56F9E77A-FA6F-5D4F-9F7F-BB9224897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033"/>
    <w:pPr>
      <w:spacing w:after="0" w:line="240" w:lineRule="auto"/>
      <w:jc w:val="both"/>
    </w:pPr>
    <w:rPr>
      <w:rFonts w:ascii="Open Sans" w:eastAsiaTheme="minorHAnsi" w:hAnsi="Open Sans"/>
      <w:sz w:val="20"/>
      <w:lang w:val="en-ZA" w:eastAsia="en-GB" w:bidi="ar-SA"/>
    </w:rPr>
  </w:style>
  <w:style w:type="paragraph" w:styleId="Heading1">
    <w:name w:val="heading 1"/>
    <w:basedOn w:val="Normal"/>
    <w:next w:val="Normal"/>
    <w:link w:val="Heading1Char"/>
    <w:qFormat/>
    <w:rsid w:val="001209AA"/>
    <w:pPr>
      <w:keepNext/>
      <w:jc w:val="center"/>
      <w:outlineLvl w:val="0"/>
    </w:pPr>
    <w:rPr>
      <w:b/>
      <w:color w:val="2E3F99"/>
      <w:kern w:val="28"/>
      <w:sz w:val="52"/>
    </w:rPr>
  </w:style>
  <w:style w:type="paragraph" w:styleId="Heading2">
    <w:name w:val="heading 2"/>
    <w:basedOn w:val="Normal"/>
    <w:next w:val="Normal"/>
    <w:link w:val="Heading2Char"/>
    <w:qFormat/>
    <w:rsid w:val="00435485"/>
    <w:pPr>
      <w:keepNext/>
      <w:spacing w:before="480" w:after="240"/>
      <w:jc w:val="left"/>
      <w:outlineLvl w:val="1"/>
    </w:pPr>
    <w:rPr>
      <w:rFonts w:cs="Arial"/>
      <w:b/>
      <w:bCs/>
      <w:iCs/>
      <w:color w:val="BF2040"/>
      <w:sz w:val="36"/>
      <w:szCs w:val="32"/>
    </w:rPr>
  </w:style>
  <w:style w:type="paragraph" w:styleId="Heading3">
    <w:name w:val="heading 3"/>
    <w:basedOn w:val="Normal"/>
    <w:next w:val="Normal"/>
    <w:link w:val="Heading3Char"/>
    <w:qFormat/>
    <w:rsid w:val="001209AA"/>
    <w:pPr>
      <w:keepNext/>
      <w:spacing w:before="420" w:after="240"/>
      <w:jc w:val="left"/>
      <w:outlineLvl w:val="2"/>
    </w:pPr>
    <w:rPr>
      <w:b/>
      <w:color w:val="1A8BAA"/>
      <w:sz w:val="28"/>
      <w:szCs w:val="28"/>
    </w:rPr>
  </w:style>
  <w:style w:type="paragraph" w:styleId="Heading4">
    <w:name w:val="heading 4"/>
    <w:basedOn w:val="Normal"/>
    <w:next w:val="Normal"/>
    <w:link w:val="Heading4Char"/>
    <w:qFormat/>
    <w:rsid w:val="005E2817"/>
    <w:pPr>
      <w:keepNext/>
      <w:spacing w:before="240" w:after="240"/>
      <w:jc w:val="left"/>
      <w:outlineLvl w:val="3"/>
    </w:pPr>
    <w:rPr>
      <w:b/>
      <w:color w:val="02413D"/>
      <w:sz w:val="24"/>
    </w:rPr>
  </w:style>
  <w:style w:type="paragraph" w:styleId="Heading5">
    <w:name w:val="heading 5"/>
    <w:basedOn w:val="Normal"/>
    <w:next w:val="Normal"/>
    <w:link w:val="Heading5Char"/>
    <w:uiPriority w:val="9"/>
    <w:semiHidden/>
    <w:unhideWhenUsed/>
    <w:rsid w:val="006C48B1"/>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C48B1"/>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C48B1"/>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C48B1"/>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6C48B1"/>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09AA"/>
    <w:rPr>
      <w:rFonts w:ascii="Open Sans" w:eastAsiaTheme="minorHAnsi" w:hAnsi="Open Sans"/>
      <w:b/>
      <w:color w:val="2E3F99"/>
      <w:kern w:val="28"/>
      <w:sz w:val="52"/>
      <w:lang w:eastAsia="en-GB" w:bidi="ar-SA"/>
    </w:rPr>
  </w:style>
  <w:style w:type="character" w:customStyle="1" w:styleId="Heading2Char">
    <w:name w:val="Heading 2 Char"/>
    <w:basedOn w:val="DefaultParagraphFont"/>
    <w:link w:val="Heading2"/>
    <w:rsid w:val="00435485"/>
    <w:rPr>
      <w:rFonts w:ascii="Open Sans" w:eastAsiaTheme="minorHAnsi" w:hAnsi="Open Sans" w:cs="Arial"/>
      <w:b/>
      <w:bCs/>
      <w:iCs/>
      <w:color w:val="BF2040"/>
      <w:sz w:val="36"/>
      <w:szCs w:val="32"/>
      <w:lang w:eastAsia="en-GB" w:bidi="ar-SA"/>
    </w:rPr>
  </w:style>
  <w:style w:type="character" w:customStyle="1" w:styleId="Heading3Char">
    <w:name w:val="Heading 3 Char"/>
    <w:basedOn w:val="DefaultParagraphFont"/>
    <w:link w:val="Heading3"/>
    <w:rsid w:val="001209AA"/>
    <w:rPr>
      <w:rFonts w:ascii="Open Sans" w:eastAsiaTheme="minorHAnsi" w:hAnsi="Open Sans"/>
      <w:b/>
      <w:color w:val="1A8BAA"/>
      <w:sz w:val="28"/>
      <w:szCs w:val="28"/>
      <w:lang w:eastAsia="en-GB" w:bidi="ar-SA"/>
    </w:rPr>
  </w:style>
  <w:style w:type="character" w:customStyle="1" w:styleId="Heading4Char">
    <w:name w:val="Heading 4 Char"/>
    <w:basedOn w:val="DefaultParagraphFont"/>
    <w:link w:val="Heading4"/>
    <w:rsid w:val="005E2817"/>
    <w:rPr>
      <w:rFonts w:ascii="Open Sans" w:eastAsiaTheme="minorHAnsi" w:hAnsi="Open Sans"/>
      <w:b/>
      <w:color w:val="02413D"/>
      <w:sz w:val="24"/>
      <w:lang w:eastAsia="en-GB" w:bidi="ar-SA"/>
    </w:rPr>
  </w:style>
  <w:style w:type="character" w:customStyle="1" w:styleId="Heading5Char">
    <w:name w:val="Heading 5 Char"/>
    <w:basedOn w:val="DefaultParagraphFont"/>
    <w:link w:val="Heading5"/>
    <w:uiPriority w:val="9"/>
    <w:semiHidden/>
    <w:rsid w:val="006C48B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C48B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C48B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C48B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C48B1"/>
    <w:rPr>
      <w:rFonts w:asciiTheme="majorHAnsi" w:eastAsiaTheme="majorEastAsia" w:hAnsiTheme="majorHAnsi" w:cstheme="majorBidi"/>
      <w:i/>
      <w:iCs/>
      <w:spacing w:val="5"/>
      <w:sz w:val="20"/>
      <w:szCs w:val="20"/>
    </w:rPr>
  </w:style>
  <w:style w:type="paragraph" w:styleId="Title">
    <w:name w:val="Title"/>
    <w:basedOn w:val="Heading1"/>
    <w:next w:val="Normal"/>
    <w:link w:val="TitleChar"/>
    <w:uiPriority w:val="1"/>
    <w:qFormat/>
    <w:rsid w:val="005E2817"/>
  </w:style>
  <w:style w:type="character" w:customStyle="1" w:styleId="TitleChar">
    <w:name w:val="Title Char"/>
    <w:basedOn w:val="DefaultParagraphFont"/>
    <w:link w:val="Title"/>
    <w:uiPriority w:val="1"/>
    <w:rsid w:val="005E2817"/>
    <w:rPr>
      <w:rFonts w:ascii="Open Sans" w:eastAsiaTheme="minorHAnsi" w:hAnsi="Open Sans"/>
      <w:b/>
      <w:color w:val="2E3F99"/>
      <w:kern w:val="28"/>
      <w:sz w:val="52"/>
      <w:lang w:eastAsia="en-GB" w:bidi="ar-SA"/>
    </w:rPr>
  </w:style>
  <w:style w:type="paragraph" w:styleId="Subtitle">
    <w:name w:val="Subtitle"/>
    <w:basedOn w:val="Normal"/>
    <w:next w:val="Normal"/>
    <w:link w:val="SubtitleChar"/>
    <w:uiPriority w:val="11"/>
    <w:semiHidden/>
    <w:unhideWhenUsed/>
    <w:qFormat/>
    <w:rsid w:val="006C48B1"/>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semiHidden/>
    <w:rsid w:val="00015FEB"/>
    <w:rPr>
      <w:rFonts w:asciiTheme="majorHAnsi" w:eastAsiaTheme="majorEastAsia" w:hAnsiTheme="majorHAnsi" w:cstheme="majorBidi"/>
      <w:i/>
      <w:iCs/>
      <w:spacing w:val="13"/>
      <w:sz w:val="24"/>
      <w:szCs w:val="24"/>
      <w:lang w:val="en-GB" w:bidi="ar-SA"/>
    </w:rPr>
  </w:style>
  <w:style w:type="character" w:styleId="Strong">
    <w:name w:val="Strong"/>
    <w:uiPriority w:val="22"/>
    <w:semiHidden/>
    <w:unhideWhenUsed/>
    <w:qFormat/>
    <w:rsid w:val="006C48B1"/>
    <w:rPr>
      <w:b/>
      <w:bCs/>
    </w:rPr>
  </w:style>
  <w:style w:type="character" w:styleId="Emphasis">
    <w:name w:val="Emphasis"/>
    <w:uiPriority w:val="20"/>
    <w:semiHidden/>
    <w:unhideWhenUsed/>
    <w:qFormat/>
    <w:rsid w:val="006C48B1"/>
    <w:rPr>
      <w:b/>
      <w:bCs/>
      <w:i/>
      <w:iCs/>
      <w:spacing w:val="10"/>
      <w:bdr w:val="none" w:sz="0" w:space="0" w:color="auto"/>
      <w:shd w:val="clear" w:color="auto" w:fill="auto"/>
    </w:rPr>
  </w:style>
  <w:style w:type="paragraph" w:styleId="NoSpacing">
    <w:name w:val="No Spacing"/>
    <w:basedOn w:val="Normal"/>
    <w:link w:val="NoSpacingChar"/>
    <w:uiPriority w:val="1"/>
    <w:unhideWhenUsed/>
    <w:qFormat/>
    <w:rsid w:val="006C48B1"/>
  </w:style>
  <w:style w:type="paragraph" w:styleId="ListParagraph">
    <w:name w:val="List Paragraph"/>
    <w:aliases w:val="Bullet List,FooterText,List with no spacing,References,List_Paragraph,Multilevel para_II,List Paragraph1,Citation List,Resume Title,List Paragraph (numbered (a)),List Paragraph Char Char Char,Numbered Paragraph,Main numbered paragraph,Bod"/>
    <w:basedOn w:val="Normal"/>
    <w:link w:val="ListParagraphChar"/>
    <w:uiPriority w:val="34"/>
    <w:unhideWhenUsed/>
    <w:qFormat/>
    <w:rsid w:val="006C48B1"/>
    <w:pPr>
      <w:ind w:left="720"/>
      <w:contextualSpacing/>
    </w:pPr>
  </w:style>
  <w:style w:type="paragraph" w:styleId="Quote">
    <w:name w:val="Quote"/>
    <w:basedOn w:val="Normal"/>
    <w:next w:val="Normal"/>
    <w:link w:val="QuoteChar"/>
    <w:uiPriority w:val="29"/>
    <w:semiHidden/>
    <w:unhideWhenUsed/>
    <w:qFormat/>
    <w:rsid w:val="006C48B1"/>
    <w:pPr>
      <w:spacing w:before="200"/>
      <w:ind w:left="360" w:right="360"/>
    </w:pPr>
    <w:rPr>
      <w:i/>
      <w:iCs/>
    </w:rPr>
  </w:style>
  <w:style w:type="character" w:customStyle="1" w:styleId="QuoteChar">
    <w:name w:val="Quote Char"/>
    <w:basedOn w:val="DefaultParagraphFont"/>
    <w:link w:val="Quote"/>
    <w:uiPriority w:val="29"/>
    <w:semiHidden/>
    <w:rsid w:val="00015FEB"/>
    <w:rPr>
      <w:rFonts w:cs="Times New Roman"/>
      <w:i/>
      <w:iCs/>
      <w:sz w:val="24"/>
      <w:szCs w:val="20"/>
      <w:lang w:val="en-GB" w:bidi="ar-SA"/>
    </w:rPr>
  </w:style>
  <w:style w:type="paragraph" w:styleId="IntenseQuote">
    <w:name w:val="Intense Quote"/>
    <w:basedOn w:val="Normal"/>
    <w:next w:val="Normal"/>
    <w:link w:val="IntenseQuoteChar"/>
    <w:uiPriority w:val="30"/>
    <w:semiHidden/>
    <w:unhideWhenUsed/>
    <w:qFormat/>
    <w:rsid w:val="006C48B1"/>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semiHidden/>
    <w:rsid w:val="00015FEB"/>
    <w:rPr>
      <w:rFonts w:cs="Times New Roman"/>
      <w:b/>
      <w:bCs/>
      <w:i/>
      <w:iCs/>
      <w:sz w:val="24"/>
      <w:szCs w:val="20"/>
      <w:lang w:val="en-GB" w:bidi="ar-SA"/>
    </w:rPr>
  </w:style>
  <w:style w:type="character" w:styleId="SubtleEmphasis">
    <w:name w:val="Subtle Emphasis"/>
    <w:uiPriority w:val="19"/>
    <w:semiHidden/>
    <w:unhideWhenUsed/>
    <w:qFormat/>
    <w:rsid w:val="006C48B1"/>
    <w:rPr>
      <w:i/>
      <w:iCs/>
    </w:rPr>
  </w:style>
  <w:style w:type="character" w:styleId="IntenseEmphasis">
    <w:name w:val="Intense Emphasis"/>
    <w:uiPriority w:val="21"/>
    <w:semiHidden/>
    <w:unhideWhenUsed/>
    <w:qFormat/>
    <w:rsid w:val="006C48B1"/>
    <w:rPr>
      <w:b/>
      <w:bCs/>
    </w:rPr>
  </w:style>
  <w:style w:type="character" w:styleId="SubtleReference">
    <w:name w:val="Subtle Reference"/>
    <w:uiPriority w:val="31"/>
    <w:semiHidden/>
    <w:unhideWhenUsed/>
    <w:qFormat/>
    <w:rsid w:val="006C48B1"/>
    <w:rPr>
      <w:smallCaps/>
    </w:rPr>
  </w:style>
  <w:style w:type="character" w:styleId="IntenseReference">
    <w:name w:val="Intense Reference"/>
    <w:uiPriority w:val="32"/>
    <w:semiHidden/>
    <w:unhideWhenUsed/>
    <w:qFormat/>
    <w:rsid w:val="006C48B1"/>
    <w:rPr>
      <w:smallCaps/>
      <w:spacing w:val="5"/>
      <w:u w:val="single"/>
    </w:rPr>
  </w:style>
  <w:style w:type="character" w:styleId="BookTitle">
    <w:name w:val="Book Title"/>
    <w:uiPriority w:val="33"/>
    <w:semiHidden/>
    <w:unhideWhenUsed/>
    <w:qFormat/>
    <w:rsid w:val="006C48B1"/>
    <w:rPr>
      <w:i/>
      <w:iCs/>
      <w:smallCaps/>
      <w:spacing w:val="5"/>
    </w:rPr>
  </w:style>
  <w:style w:type="paragraph" w:styleId="TOCHeading">
    <w:name w:val="TOC Heading"/>
    <w:basedOn w:val="Heading1"/>
    <w:next w:val="Normal"/>
    <w:uiPriority w:val="39"/>
    <w:unhideWhenUsed/>
    <w:qFormat/>
    <w:rsid w:val="006C48B1"/>
    <w:pPr>
      <w:outlineLvl w:val="9"/>
    </w:pPr>
  </w:style>
  <w:style w:type="paragraph" w:styleId="Bibliography">
    <w:name w:val="Bibliography"/>
    <w:basedOn w:val="Normal"/>
    <w:semiHidden/>
    <w:unhideWhenUsed/>
    <w:rsid w:val="006C48B1"/>
    <w:pPr>
      <w:numPr>
        <w:numId w:val="1"/>
      </w:numPr>
    </w:pPr>
  </w:style>
  <w:style w:type="paragraph" w:styleId="BlockText">
    <w:name w:val="Block Text"/>
    <w:basedOn w:val="Normal"/>
    <w:semiHidden/>
    <w:unhideWhenUsed/>
    <w:rsid w:val="006C48B1"/>
    <w:pPr>
      <w:pBdr>
        <w:top w:val="single" w:sz="4" w:space="6" w:color="auto"/>
        <w:left w:val="single" w:sz="4" w:space="6" w:color="auto"/>
        <w:bottom w:val="single" w:sz="4" w:space="6" w:color="auto"/>
        <w:right w:val="single" w:sz="4" w:space="6" w:color="auto"/>
      </w:pBdr>
    </w:pPr>
  </w:style>
  <w:style w:type="paragraph" w:styleId="BodyTextIndent">
    <w:name w:val="Body Text Indent"/>
    <w:basedOn w:val="Normal"/>
    <w:link w:val="BodyTextIndentChar"/>
    <w:qFormat/>
    <w:rsid w:val="00015FEB"/>
    <w:pPr>
      <w:tabs>
        <w:tab w:val="left" w:pos="1489"/>
      </w:tabs>
      <w:ind w:left="720" w:right="720"/>
    </w:pPr>
    <w:rPr>
      <w:i/>
      <w:snapToGrid w:val="0"/>
      <w:color w:val="000000"/>
    </w:rPr>
  </w:style>
  <w:style w:type="character" w:customStyle="1" w:styleId="BodyTextIndentChar">
    <w:name w:val="Body Text Indent Char"/>
    <w:basedOn w:val="DefaultParagraphFont"/>
    <w:link w:val="BodyTextIndent"/>
    <w:rsid w:val="00015FEB"/>
    <w:rPr>
      <w:rFonts w:cs="Times New Roman"/>
      <w:i/>
      <w:snapToGrid w:val="0"/>
      <w:color w:val="000000"/>
      <w:sz w:val="20"/>
      <w:szCs w:val="20"/>
      <w:lang w:val="en-GB" w:bidi="ar-SA"/>
    </w:rPr>
  </w:style>
  <w:style w:type="paragraph" w:customStyle="1" w:styleId="FigureReference">
    <w:name w:val="Figure Reference"/>
    <w:basedOn w:val="Normal"/>
    <w:next w:val="Normal"/>
    <w:uiPriority w:val="1"/>
    <w:qFormat/>
    <w:rsid w:val="007A394F"/>
    <w:pPr>
      <w:keepNext/>
      <w:keepLines/>
      <w:numPr>
        <w:numId w:val="2"/>
      </w:numPr>
      <w:spacing w:after="240"/>
    </w:pPr>
    <w:rPr>
      <w:i/>
      <w:color w:val="548DD4" w:themeColor="text2" w:themeTint="99"/>
      <w:sz w:val="22"/>
    </w:rPr>
  </w:style>
  <w:style w:type="paragraph" w:styleId="Footer">
    <w:name w:val="footer"/>
    <w:basedOn w:val="Normal"/>
    <w:link w:val="FooterChar"/>
    <w:uiPriority w:val="99"/>
    <w:qFormat/>
    <w:rsid w:val="006C48B1"/>
    <w:pPr>
      <w:tabs>
        <w:tab w:val="center" w:pos="4153"/>
        <w:tab w:val="right" w:pos="8306"/>
      </w:tabs>
    </w:pPr>
  </w:style>
  <w:style w:type="character" w:customStyle="1" w:styleId="FooterChar">
    <w:name w:val="Footer Char"/>
    <w:basedOn w:val="DefaultParagraphFont"/>
    <w:link w:val="Footer"/>
    <w:uiPriority w:val="99"/>
    <w:rsid w:val="00015FEB"/>
    <w:rPr>
      <w:rFonts w:cs="Times New Roman"/>
      <w:sz w:val="24"/>
      <w:szCs w:val="20"/>
      <w:lang w:val="en-GB" w:bidi="ar-SA"/>
    </w:rPr>
  </w:style>
  <w:style w:type="character" w:styleId="FootnoteReference">
    <w:name w:val="footnote reference"/>
    <w:basedOn w:val="DefaultParagraphFont"/>
    <w:uiPriority w:val="99"/>
    <w:qFormat/>
    <w:rsid w:val="006C48B1"/>
    <w:rPr>
      <w:vertAlign w:val="superscript"/>
    </w:rPr>
  </w:style>
  <w:style w:type="paragraph" w:styleId="FootnoteText">
    <w:name w:val="footnote text"/>
    <w:basedOn w:val="Normal"/>
    <w:link w:val="FootnoteTextChar"/>
    <w:uiPriority w:val="1"/>
    <w:qFormat/>
    <w:rsid w:val="00BC0F16"/>
    <w:pPr>
      <w:jc w:val="left"/>
    </w:pPr>
    <w:rPr>
      <w:sz w:val="18"/>
      <w:lang w:bidi="en-US"/>
    </w:rPr>
  </w:style>
  <w:style w:type="character" w:customStyle="1" w:styleId="FootnoteTextChar">
    <w:name w:val="Footnote Text Char"/>
    <w:basedOn w:val="DefaultParagraphFont"/>
    <w:link w:val="FootnoteText"/>
    <w:uiPriority w:val="1"/>
    <w:rsid w:val="00BC0F16"/>
    <w:rPr>
      <w:sz w:val="18"/>
      <w:lang w:val="en-GB" w:eastAsia="en-US"/>
    </w:rPr>
  </w:style>
  <w:style w:type="paragraph" w:styleId="Header">
    <w:name w:val="header"/>
    <w:basedOn w:val="Normal"/>
    <w:link w:val="HeaderChar"/>
    <w:uiPriority w:val="1"/>
    <w:qFormat/>
    <w:rsid w:val="00015FEB"/>
    <w:pPr>
      <w:pBdr>
        <w:bottom w:val="single" w:sz="4" w:space="1" w:color="auto"/>
      </w:pBdr>
      <w:tabs>
        <w:tab w:val="center" w:pos="4153"/>
        <w:tab w:val="right" w:pos="8306"/>
      </w:tabs>
      <w:jc w:val="center"/>
    </w:pPr>
  </w:style>
  <w:style w:type="character" w:customStyle="1" w:styleId="HeaderChar">
    <w:name w:val="Header Char"/>
    <w:basedOn w:val="DefaultParagraphFont"/>
    <w:link w:val="Header"/>
    <w:uiPriority w:val="1"/>
    <w:rsid w:val="00015FEB"/>
    <w:rPr>
      <w:rFonts w:cs="Times New Roman"/>
      <w:sz w:val="20"/>
      <w:szCs w:val="20"/>
      <w:lang w:val="en-GB" w:bidi="ar-SA"/>
    </w:rPr>
  </w:style>
  <w:style w:type="character" w:styleId="Hyperlink">
    <w:name w:val="Hyperlink"/>
    <w:basedOn w:val="DefaultParagraphFont"/>
    <w:uiPriority w:val="99"/>
    <w:rsid w:val="006C48B1"/>
    <w:rPr>
      <w:color w:val="0000FF"/>
      <w:u w:val="single"/>
    </w:rPr>
  </w:style>
  <w:style w:type="character" w:styleId="PageNumber">
    <w:name w:val="page number"/>
    <w:basedOn w:val="DefaultParagraphFont"/>
    <w:uiPriority w:val="1"/>
    <w:rsid w:val="006C48B1"/>
  </w:style>
  <w:style w:type="paragraph" w:customStyle="1" w:styleId="TableReference">
    <w:name w:val="Table Reference"/>
    <w:basedOn w:val="Normal"/>
    <w:next w:val="Normal"/>
    <w:uiPriority w:val="1"/>
    <w:qFormat/>
    <w:rsid w:val="006B6BA4"/>
    <w:pPr>
      <w:keepNext/>
      <w:keepLines/>
      <w:numPr>
        <w:numId w:val="3"/>
      </w:numPr>
      <w:spacing w:after="240"/>
    </w:pPr>
    <w:rPr>
      <w:i/>
      <w:color w:val="548DD4" w:themeColor="text2" w:themeTint="99"/>
    </w:rPr>
  </w:style>
  <w:style w:type="paragraph" w:styleId="PlainText">
    <w:name w:val="Plain Text"/>
    <w:basedOn w:val="Normal"/>
    <w:link w:val="PlainTextChar"/>
    <w:uiPriority w:val="99"/>
    <w:semiHidden/>
    <w:unhideWhenUsed/>
    <w:rsid w:val="00EF5A24"/>
    <w:pPr>
      <w:jc w:val="left"/>
    </w:pPr>
    <w:rPr>
      <w:rFonts w:ascii="Calibri" w:hAnsi="Calibri" w:cs="Consolas"/>
      <w:szCs w:val="21"/>
    </w:rPr>
  </w:style>
  <w:style w:type="character" w:customStyle="1" w:styleId="PlainTextChar">
    <w:name w:val="Plain Text Char"/>
    <w:basedOn w:val="DefaultParagraphFont"/>
    <w:link w:val="PlainText"/>
    <w:uiPriority w:val="99"/>
    <w:semiHidden/>
    <w:rsid w:val="00EF5A24"/>
    <w:rPr>
      <w:rFonts w:ascii="Calibri" w:eastAsiaTheme="minorHAnsi" w:hAnsi="Calibri" w:cs="Consolas"/>
      <w:szCs w:val="21"/>
      <w:lang w:val="en-ZA" w:bidi="ar-SA"/>
    </w:rPr>
  </w:style>
  <w:style w:type="table" w:styleId="TableGrid">
    <w:name w:val="Table Grid"/>
    <w:basedOn w:val="TableNormal"/>
    <w:rsid w:val="008B425B"/>
    <w:pPr>
      <w:spacing w:after="0" w:line="240" w:lineRule="auto"/>
    </w:pPr>
    <w:rPr>
      <w:rFonts w:eastAsiaTheme="minorHAnsi"/>
      <w:lang w:val="en-ZA"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E12E4"/>
    <w:rPr>
      <w:color w:val="808080"/>
      <w:shd w:val="clear" w:color="auto" w:fill="E6E6E6"/>
    </w:rPr>
  </w:style>
  <w:style w:type="character" w:customStyle="1" w:styleId="ListParagraphChar">
    <w:name w:val="List Paragraph Char"/>
    <w:aliases w:val="Bullet List Char,FooterText Char,List with no spacing Char,References Char,List_Paragraph Char,Multilevel para_II Char,List Paragraph1 Char,Citation List Char,Resume Title Char,List Paragraph (numbered (a)) Char,Bod Char"/>
    <w:basedOn w:val="DefaultParagraphFont"/>
    <w:link w:val="ListParagraph"/>
    <w:uiPriority w:val="34"/>
    <w:locked/>
    <w:rsid w:val="00015C6A"/>
    <w:rPr>
      <w:rFonts w:eastAsiaTheme="minorHAnsi"/>
      <w:lang w:val="en-GB" w:bidi="ar-SA"/>
    </w:rPr>
  </w:style>
  <w:style w:type="character" w:customStyle="1" w:styleId="NoSpacingChar">
    <w:name w:val="No Spacing Char"/>
    <w:basedOn w:val="DefaultParagraphFont"/>
    <w:link w:val="NoSpacing"/>
    <w:uiPriority w:val="1"/>
    <w:rsid w:val="00BB24CB"/>
    <w:rPr>
      <w:rFonts w:eastAsiaTheme="minorHAnsi"/>
      <w:lang w:val="en-GB" w:bidi="ar-SA"/>
    </w:rPr>
  </w:style>
  <w:style w:type="character" w:customStyle="1" w:styleId="UnresolvedMention1">
    <w:name w:val="Unresolved Mention1"/>
    <w:basedOn w:val="DefaultParagraphFont"/>
    <w:uiPriority w:val="99"/>
    <w:semiHidden/>
    <w:unhideWhenUsed/>
    <w:rsid w:val="005D3CD7"/>
    <w:rPr>
      <w:color w:val="605E5C"/>
      <w:shd w:val="clear" w:color="auto" w:fill="E1DFDD"/>
    </w:rPr>
  </w:style>
  <w:style w:type="character" w:styleId="CommentReference">
    <w:name w:val="annotation reference"/>
    <w:basedOn w:val="DefaultParagraphFont"/>
    <w:uiPriority w:val="99"/>
    <w:semiHidden/>
    <w:unhideWhenUsed/>
    <w:rsid w:val="005D3CD7"/>
    <w:rPr>
      <w:sz w:val="16"/>
      <w:szCs w:val="16"/>
    </w:rPr>
  </w:style>
  <w:style w:type="paragraph" w:styleId="CommentText">
    <w:name w:val="annotation text"/>
    <w:basedOn w:val="Normal"/>
    <w:link w:val="CommentTextChar"/>
    <w:uiPriority w:val="99"/>
    <w:unhideWhenUsed/>
    <w:rsid w:val="005D3CD7"/>
    <w:rPr>
      <w:szCs w:val="20"/>
    </w:rPr>
  </w:style>
  <w:style w:type="character" w:customStyle="1" w:styleId="CommentTextChar">
    <w:name w:val="Comment Text Char"/>
    <w:basedOn w:val="DefaultParagraphFont"/>
    <w:link w:val="CommentText"/>
    <w:uiPriority w:val="99"/>
    <w:rsid w:val="005D3CD7"/>
    <w:rPr>
      <w:rFonts w:eastAsiaTheme="minorHAnsi"/>
      <w:sz w:val="20"/>
      <w:szCs w:val="20"/>
      <w:lang w:val="en-GB" w:bidi="ar-SA"/>
    </w:rPr>
  </w:style>
  <w:style w:type="paragraph" w:styleId="CommentSubject">
    <w:name w:val="annotation subject"/>
    <w:basedOn w:val="CommentText"/>
    <w:next w:val="CommentText"/>
    <w:link w:val="CommentSubjectChar"/>
    <w:uiPriority w:val="99"/>
    <w:semiHidden/>
    <w:unhideWhenUsed/>
    <w:rsid w:val="005D3CD7"/>
    <w:rPr>
      <w:b/>
      <w:bCs/>
    </w:rPr>
  </w:style>
  <w:style w:type="character" w:customStyle="1" w:styleId="CommentSubjectChar">
    <w:name w:val="Comment Subject Char"/>
    <w:basedOn w:val="CommentTextChar"/>
    <w:link w:val="CommentSubject"/>
    <w:uiPriority w:val="99"/>
    <w:semiHidden/>
    <w:rsid w:val="005D3CD7"/>
    <w:rPr>
      <w:rFonts w:eastAsiaTheme="minorHAnsi"/>
      <w:b/>
      <w:bCs/>
      <w:sz w:val="20"/>
      <w:szCs w:val="20"/>
      <w:lang w:val="en-GB" w:bidi="ar-SA"/>
    </w:rPr>
  </w:style>
  <w:style w:type="paragraph" w:styleId="BalloonText">
    <w:name w:val="Balloon Text"/>
    <w:basedOn w:val="Normal"/>
    <w:link w:val="BalloonTextChar"/>
    <w:uiPriority w:val="99"/>
    <w:semiHidden/>
    <w:unhideWhenUsed/>
    <w:rsid w:val="005D3C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CD7"/>
    <w:rPr>
      <w:rFonts w:ascii="Segoe UI" w:eastAsiaTheme="minorHAnsi" w:hAnsi="Segoe UI" w:cs="Segoe UI"/>
      <w:sz w:val="18"/>
      <w:szCs w:val="18"/>
      <w:lang w:val="en-GB" w:bidi="ar-SA"/>
    </w:rPr>
  </w:style>
  <w:style w:type="character" w:styleId="FollowedHyperlink">
    <w:name w:val="FollowedHyperlink"/>
    <w:basedOn w:val="DefaultParagraphFont"/>
    <w:uiPriority w:val="99"/>
    <w:semiHidden/>
    <w:unhideWhenUsed/>
    <w:rsid w:val="005D3CD7"/>
    <w:rPr>
      <w:color w:val="800080" w:themeColor="followedHyperlink"/>
      <w:u w:val="single"/>
    </w:rPr>
  </w:style>
  <w:style w:type="paragraph" w:styleId="Revision">
    <w:name w:val="Revision"/>
    <w:hidden/>
    <w:uiPriority w:val="99"/>
    <w:semiHidden/>
    <w:rsid w:val="005D3CD7"/>
    <w:pPr>
      <w:spacing w:after="0" w:line="240" w:lineRule="auto"/>
    </w:pPr>
    <w:rPr>
      <w:rFonts w:eastAsiaTheme="minorHAnsi"/>
      <w:lang w:val="en-GB" w:bidi="ar-SA"/>
    </w:rPr>
  </w:style>
  <w:style w:type="character" w:customStyle="1" w:styleId="UnresolvedMention2">
    <w:name w:val="Unresolved Mention2"/>
    <w:basedOn w:val="DefaultParagraphFont"/>
    <w:uiPriority w:val="99"/>
    <w:semiHidden/>
    <w:unhideWhenUsed/>
    <w:rsid w:val="005D3CD7"/>
    <w:rPr>
      <w:color w:val="605E5C"/>
      <w:shd w:val="clear" w:color="auto" w:fill="E1DFDD"/>
    </w:rPr>
  </w:style>
  <w:style w:type="paragraph" w:styleId="TOC1">
    <w:name w:val="toc 1"/>
    <w:basedOn w:val="Normal"/>
    <w:next w:val="Normal"/>
    <w:autoRedefine/>
    <w:uiPriority w:val="39"/>
    <w:unhideWhenUsed/>
    <w:rsid w:val="002F41D2"/>
    <w:pPr>
      <w:spacing w:before="120"/>
      <w:jc w:val="left"/>
    </w:pPr>
    <w:rPr>
      <w:rFonts w:cstheme="minorHAnsi"/>
      <w:b/>
      <w:bCs/>
      <w:i/>
      <w:iCs/>
      <w:sz w:val="22"/>
      <w:szCs w:val="24"/>
    </w:rPr>
  </w:style>
  <w:style w:type="paragraph" w:styleId="TOC3">
    <w:name w:val="toc 3"/>
    <w:basedOn w:val="Normal"/>
    <w:next w:val="Normal"/>
    <w:autoRedefine/>
    <w:uiPriority w:val="39"/>
    <w:unhideWhenUsed/>
    <w:rsid w:val="00CA0326"/>
    <w:pPr>
      <w:ind w:left="440"/>
      <w:jc w:val="left"/>
    </w:pPr>
    <w:rPr>
      <w:rFonts w:cstheme="minorHAnsi"/>
      <w:szCs w:val="20"/>
    </w:rPr>
  </w:style>
  <w:style w:type="paragraph" w:styleId="TOC2">
    <w:name w:val="toc 2"/>
    <w:basedOn w:val="Normal"/>
    <w:next w:val="Normal"/>
    <w:autoRedefine/>
    <w:uiPriority w:val="39"/>
    <w:unhideWhenUsed/>
    <w:rsid w:val="00CA0326"/>
    <w:pPr>
      <w:spacing w:before="120"/>
      <w:ind w:left="220"/>
      <w:jc w:val="left"/>
    </w:pPr>
    <w:rPr>
      <w:rFonts w:cstheme="minorHAnsi"/>
      <w:b/>
      <w:bCs/>
    </w:rPr>
  </w:style>
  <w:style w:type="paragraph" w:styleId="TOC4">
    <w:name w:val="toc 4"/>
    <w:basedOn w:val="Normal"/>
    <w:next w:val="Normal"/>
    <w:autoRedefine/>
    <w:uiPriority w:val="39"/>
    <w:unhideWhenUsed/>
    <w:rsid w:val="00CA0326"/>
    <w:pPr>
      <w:ind w:left="660"/>
      <w:jc w:val="left"/>
    </w:pPr>
    <w:rPr>
      <w:rFonts w:cstheme="minorHAnsi"/>
      <w:szCs w:val="20"/>
    </w:rPr>
  </w:style>
  <w:style w:type="paragraph" w:styleId="TOC5">
    <w:name w:val="toc 5"/>
    <w:basedOn w:val="Normal"/>
    <w:next w:val="Normal"/>
    <w:autoRedefine/>
    <w:uiPriority w:val="39"/>
    <w:semiHidden/>
    <w:unhideWhenUsed/>
    <w:rsid w:val="00CA0326"/>
    <w:pPr>
      <w:ind w:left="880"/>
      <w:jc w:val="left"/>
    </w:pPr>
    <w:rPr>
      <w:rFonts w:cstheme="minorHAnsi"/>
      <w:szCs w:val="20"/>
    </w:rPr>
  </w:style>
  <w:style w:type="paragraph" w:styleId="TOC6">
    <w:name w:val="toc 6"/>
    <w:basedOn w:val="Normal"/>
    <w:next w:val="Normal"/>
    <w:autoRedefine/>
    <w:uiPriority w:val="39"/>
    <w:semiHidden/>
    <w:unhideWhenUsed/>
    <w:rsid w:val="00CA0326"/>
    <w:pPr>
      <w:ind w:left="1100"/>
      <w:jc w:val="left"/>
    </w:pPr>
    <w:rPr>
      <w:rFonts w:cstheme="minorHAnsi"/>
      <w:szCs w:val="20"/>
    </w:rPr>
  </w:style>
  <w:style w:type="paragraph" w:styleId="TOC7">
    <w:name w:val="toc 7"/>
    <w:basedOn w:val="Normal"/>
    <w:next w:val="Normal"/>
    <w:autoRedefine/>
    <w:uiPriority w:val="39"/>
    <w:semiHidden/>
    <w:unhideWhenUsed/>
    <w:rsid w:val="00CA0326"/>
    <w:pPr>
      <w:ind w:left="1320"/>
      <w:jc w:val="left"/>
    </w:pPr>
    <w:rPr>
      <w:rFonts w:cstheme="minorHAnsi"/>
      <w:szCs w:val="20"/>
    </w:rPr>
  </w:style>
  <w:style w:type="paragraph" w:styleId="TOC8">
    <w:name w:val="toc 8"/>
    <w:basedOn w:val="Normal"/>
    <w:next w:val="Normal"/>
    <w:autoRedefine/>
    <w:uiPriority w:val="39"/>
    <w:semiHidden/>
    <w:unhideWhenUsed/>
    <w:rsid w:val="00CA0326"/>
    <w:pPr>
      <w:ind w:left="1540"/>
      <w:jc w:val="left"/>
    </w:pPr>
    <w:rPr>
      <w:rFonts w:cstheme="minorHAnsi"/>
      <w:szCs w:val="20"/>
    </w:rPr>
  </w:style>
  <w:style w:type="paragraph" w:styleId="TOC9">
    <w:name w:val="toc 9"/>
    <w:basedOn w:val="Normal"/>
    <w:next w:val="Normal"/>
    <w:autoRedefine/>
    <w:uiPriority w:val="39"/>
    <w:semiHidden/>
    <w:unhideWhenUsed/>
    <w:rsid w:val="00CA0326"/>
    <w:pPr>
      <w:ind w:left="1760"/>
      <w:jc w:val="left"/>
    </w:pPr>
    <w:rPr>
      <w:rFonts w:cstheme="minorHAnsi"/>
      <w:szCs w:val="20"/>
    </w:rPr>
  </w:style>
  <w:style w:type="paragraph" w:customStyle="1" w:styleId="Quotes">
    <w:name w:val="Quotes"/>
    <w:basedOn w:val="BodyTextIndent"/>
    <w:link w:val="QuotesChar"/>
    <w:qFormat/>
    <w:rsid w:val="007A6037"/>
    <w:rPr>
      <w:lang w:bidi="en-US"/>
    </w:rPr>
  </w:style>
  <w:style w:type="character" w:customStyle="1" w:styleId="QuotesChar">
    <w:name w:val="Quotes Char"/>
    <w:basedOn w:val="BodyTextIndentChar"/>
    <w:link w:val="Quotes"/>
    <w:rsid w:val="007A6037"/>
    <w:rPr>
      <w:rFonts w:eastAsiaTheme="minorHAnsi" w:cs="Times New Roman"/>
      <w:i/>
      <w:snapToGrid w:val="0"/>
      <w:color w:val="000000"/>
      <w:sz w:val="20"/>
      <w:szCs w:val="20"/>
      <w:lang w:val="en-GB" w:bidi="ar-SA"/>
    </w:rPr>
  </w:style>
  <w:style w:type="table" w:styleId="ListTable2-Accent1">
    <w:name w:val="List Table 2 Accent 1"/>
    <w:basedOn w:val="TableNormal"/>
    <w:uiPriority w:val="47"/>
    <w:rsid w:val="005C6C3D"/>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5">
    <w:name w:val="List Table 1 Light Accent 5"/>
    <w:basedOn w:val="TableNormal"/>
    <w:uiPriority w:val="46"/>
    <w:rsid w:val="005E2817"/>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1">
    <w:name w:val="List Table 1 Light Accent 1"/>
    <w:basedOn w:val="TableNormal"/>
    <w:uiPriority w:val="46"/>
    <w:rsid w:val="00435485"/>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Headingsub-title2">
    <w:name w:val="Heading sub-title 2"/>
    <w:basedOn w:val="Normal"/>
    <w:link w:val="Headingsub-title2Char"/>
    <w:qFormat/>
    <w:rsid w:val="00D74267"/>
    <w:pPr>
      <w:jc w:val="center"/>
    </w:pPr>
    <w:rPr>
      <w:b/>
      <w:bCs/>
      <w:color w:val="808080"/>
      <w:sz w:val="24"/>
      <w:szCs w:val="24"/>
    </w:rPr>
  </w:style>
  <w:style w:type="paragraph" w:customStyle="1" w:styleId="Headingsub-title3">
    <w:name w:val="Heading sub-title 3"/>
    <w:basedOn w:val="Normal"/>
    <w:link w:val="Headingsub-title3Char"/>
    <w:qFormat/>
    <w:rsid w:val="00D74267"/>
    <w:pPr>
      <w:jc w:val="center"/>
    </w:pPr>
    <w:rPr>
      <w:b/>
      <w:bCs/>
    </w:rPr>
  </w:style>
  <w:style w:type="character" w:customStyle="1" w:styleId="Headingsub-title2Char">
    <w:name w:val="Heading sub-title 2 Char"/>
    <w:basedOn w:val="DefaultParagraphFont"/>
    <w:link w:val="Headingsub-title2"/>
    <w:rsid w:val="00D74267"/>
    <w:rPr>
      <w:rFonts w:ascii="Open Sans" w:eastAsiaTheme="minorHAnsi" w:hAnsi="Open Sans"/>
      <w:b/>
      <w:bCs/>
      <w:color w:val="808080"/>
      <w:sz w:val="24"/>
      <w:szCs w:val="24"/>
      <w:lang w:eastAsia="en-GB" w:bidi="ar-SA"/>
    </w:rPr>
  </w:style>
  <w:style w:type="paragraph" w:styleId="Caption">
    <w:name w:val="caption"/>
    <w:basedOn w:val="Normal"/>
    <w:next w:val="Normal"/>
    <w:uiPriority w:val="35"/>
    <w:unhideWhenUsed/>
    <w:qFormat/>
    <w:rsid w:val="004E5A37"/>
    <w:pPr>
      <w:tabs>
        <w:tab w:val="left" w:pos="1021"/>
      </w:tabs>
      <w:spacing w:after="240"/>
      <w:ind w:left="1021" w:hanging="1021"/>
    </w:pPr>
    <w:rPr>
      <w:i/>
      <w:iCs/>
      <w:color w:val="548DD4" w:themeColor="text2" w:themeTint="99"/>
      <w:szCs w:val="18"/>
    </w:rPr>
  </w:style>
  <w:style w:type="character" w:customStyle="1" w:styleId="Headingsub-title3Char">
    <w:name w:val="Heading sub-title 3 Char"/>
    <w:basedOn w:val="DefaultParagraphFont"/>
    <w:link w:val="Headingsub-title3"/>
    <w:rsid w:val="00D74267"/>
    <w:rPr>
      <w:rFonts w:ascii="Open Sans" w:eastAsiaTheme="minorHAnsi" w:hAnsi="Open Sans"/>
      <w:b/>
      <w:bCs/>
      <w:sz w:val="20"/>
      <w:lang w:eastAsia="en-GB" w:bidi="ar-SA"/>
    </w:rPr>
  </w:style>
  <w:style w:type="paragraph" w:styleId="TableofFigures">
    <w:name w:val="table of figures"/>
    <w:basedOn w:val="Normal"/>
    <w:next w:val="Normal"/>
    <w:uiPriority w:val="99"/>
    <w:unhideWhenUsed/>
    <w:rsid w:val="003A29D4"/>
  </w:style>
  <w:style w:type="table" w:styleId="ListTable3-Accent1">
    <w:name w:val="List Table 3 Accent 1"/>
    <w:basedOn w:val="TableNormal"/>
    <w:uiPriority w:val="48"/>
    <w:rsid w:val="002413D0"/>
    <w:pPr>
      <w:spacing w:after="0" w:line="240" w:lineRule="auto"/>
      <w:jc w:val="center"/>
    </w:pPr>
    <w:tblPr>
      <w:tblStyleRowBandSize w:val="1"/>
      <w:tblStyleColBandSize w:val="1"/>
      <w:tblBorders>
        <w:top w:val="single" w:sz="4" w:space="0" w:color="4F81BD" w:themeColor="accent1"/>
        <w:bottom w:val="single" w:sz="4" w:space="0" w:color="4F81BD" w:themeColor="accent1"/>
      </w:tblBorders>
    </w:tblPr>
    <w:tcPr>
      <w:vAlign w:val="center"/>
    </w:tcPr>
    <w:tblStylePr w:type="firstRow">
      <w:pPr>
        <w:jc w:val="center"/>
      </w:pPr>
      <w:rPr>
        <w:rFonts w:ascii="Noto Sans Symbols" w:hAnsi="Noto Sans Symbols"/>
        <w:b/>
        <w:bCs/>
        <w:color w:val="FFFFFF"/>
        <w:sz w:val="20"/>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2-Accent1">
    <w:name w:val="Grid Table 2 Accent 1"/>
    <w:basedOn w:val="TableNormal"/>
    <w:uiPriority w:val="47"/>
    <w:rsid w:val="003A6048"/>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1">
    <w:name w:val="Grid Table 1 Light Accent 1"/>
    <w:basedOn w:val="TableNormal"/>
    <w:uiPriority w:val="46"/>
    <w:rsid w:val="00414EBF"/>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pPr>
        <w:jc w:val="left"/>
      </w:pPr>
      <w:rPr>
        <w:rFonts w:ascii="Noto Sans Symbols" w:hAnsi="Noto Sans Symbols"/>
        <w:b/>
        <w:bCs/>
        <w:sz w:val="20"/>
      </w:rPr>
      <w:tblPr/>
      <w:tcPr>
        <w:shd w:val="clear" w:color="auto" w:fill="B8CCE4" w:themeFill="accent1" w:themeFillTint="66"/>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F81C3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41679F"/>
    <w:rPr>
      <w:szCs w:val="20"/>
    </w:rPr>
  </w:style>
  <w:style w:type="character" w:customStyle="1" w:styleId="EndnoteTextChar">
    <w:name w:val="Endnote Text Char"/>
    <w:basedOn w:val="DefaultParagraphFont"/>
    <w:link w:val="EndnoteText"/>
    <w:uiPriority w:val="99"/>
    <w:semiHidden/>
    <w:rsid w:val="0041679F"/>
    <w:rPr>
      <w:rFonts w:ascii="Open Sans" w:eastAsiaTheme="minorHAnsi" w:hAnsi="Open Sans"/>
      <w:sz w:val="20"/>
      <w:szCs w:val="20"/>
      <w:lang w:eastAsia="en-GB" w:bidi="ar-SA"/>
    </w:rPr>
  </w:style>
  <w:style w:type="character" w:styleId="EndnoteReference">
    <w:name w:val="endnote reference"/>
    <w:basedOn w:val="DefaultParagraphFont"/>
    <w:uiPriority w:val="99"/>
    <w:semiHidden/>
    <w:unhideWhenUsed/>
    <w:rsid w:val="004167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7472">
      <w:bodyDiv w:val="1"/>
      <w:marLeft w:val="0"/>
      <w:marRight w:val="0"/>
      <w:marTop w:val="0"/>
      <w:marBottom w:val="0"/>
      <w:divBdr>
        <w:top w:val="none" w:sz="0" w:space="0" w:color="auto"/>
        <w:left w:val="none" w:sz="0" w:space="0" w:color="auto"/>
        <w:bottom w:val="none" w:sz="0" w:space="0" w:color="auto"/>
        <w:right w:val="none" w:sz="0" w:space="0" w:color="auto"/>
      </w:divBdr>
    </w:div>
    <w:div w:id="376205884">
      <w:bodyDiv w:val="1"/>
      <w:marLeft w:val="0"/>
      <w:marRight w:val="0"/>
      <w:marTop w:val="0"/>
      <w:marBottom w:val="0"/>
      <w:divBdr>
        <w:top w:val="none" w:sz="0" w:space="0" w:color="auto"/>
        <w:left w:val="none" w:sz="0" w:space="0" w:color="auto"/>
        <w:bottom w:val="none" w:sz="0" w:space="0" w:color="auto"/>
        <w:right w:val="none" w:sz="0" w:space="0" w:color="auto"/>
      </w:divBdr>
    </w:div>
    <w:div w:id="855844823">
      <w:bodyDiv w:val="1"/>
      <w:marLeft w:val="0"/>
      <w:marRight w:val="0"/>
      <w:marTop w:val="0"/>
      <w:marBottom w:val="0"/>
      <w:divBdr>
        <w:top w:val="none" w:sz="0" w:space="0" w:color="auto"/>
        <w:left w:val="none" w:sz="0" w:space="0" w:color="auto"/>
        <w:bottom w:val="none" w:sz="0" w:space="0" w:color="auto"/>
        <w:right w:val="none" w:sz="0" w:space="0" w:color="auto"/>
      </w:divBdr>
    </w:div>
    <w:div w:id="1356227694">
      <w:bodyDiv w:val="1"/>
      <w:marLeft w:val="0"/>
      <w:marRight w:val="0"/>
      <w:marTop w:val="0"/>
      <w:marBottom w:val="0"/>
      <w:divBdr>
        <w:top w:val="none" w:sz="0" w:space="0" w:color="auto"/>
        <w:left w:val="none" w:sz="0" w:space="0" w:color="auto"/>
        <w:bottom w:val="none" w:sz="0" w:space="0" w:color="auto"/>
        <w:right w:val="none" w:sz="0" w:space="0" w:color="auto"/>
      </w:divBdr>
    </w:div>
    <w:div w:id="1471485367">
      <w:bodyDiv w:val="1"/>
      <w:marLeft w:val="0"/>
      <w:marRight w:val="0"/>
      <w:marTop w:val="0"/>
      <w:marBottom w:val="0"/>
      <w:divBdr>
        <w:top w:val="none" w:sz="0" w:space="0" w:color="auto"/>
        <w:left w:val="none" w:sz="0" w:space="0" w:color="auto"/>
        <w:bottom w:val="none" w:sz="0" w:space="0" w:color="auto"/>
        <w:right w:val="none" w:sz="0" w:space="0" w:color="auto"/>
      </w:divBdr>
    </w:div>
    <w:div w:id="1687829981">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21728157">
      <w:bodyDiv w:val="1"/>
      <w:marLeft w:val="0"/>
      <w:marRight w:val="0"/>
      <w:marTop w:val="0"/>
      <w:marBottom w:val="0"/>
      <w:divBdr>
        <w:top w:val="none" w:sz="0" w:space="0" w:color="auto"/>
        <w:left w:val="none" w:sz="0" w:space="0" w:color="auto"/>
        <w:bottom w:val="none" w:sz="0" w:space="0" w:color="auto"/>
        <w:right w:val="none" w:sz="0" w:space="0" w:color="auto"/>
      </w:divBdr>
      <w:divsChild>
        <w:div w:id="1907302922">
          <w:marLeft w:val="0"/>
          <w:marRight w:val="0"/>
          <w:marTop w:val="0"/>
          <w:marBottom w:val="0"/>
          <w:divBdr>
            <w:top w:val="none" w:sz="0" w:space="0" w:color="auto"/>
            <w:left w:val="none" w:sz="0" w:space="0" w:color="auto"/>
            <w:bottom w:val="none" w:sz="0" w:space="0" w:color="auto"/>
            <w:right w:val="none" w:sz="0" w:space="0" w:color="auto"/>
          </w:divBdr>
          <w:divsChild>
            <w:div w:id="1286616467">
              <w:marLeft w:val="0"/>
              <w:marRight w:val="0"/>
              <w:marTop w:val="0"/>
              <w:marBottom w:val="0"/>
              <w:divBdr>
                <w:top w:val="none" w:sz="0" w:space="0" w:color="auto"/>
                <w:left w:val="none" w:sz="0" w:space="0" w:color="auto"/>
                <w:bottom w:val="none" w:sz="0" w:space="0" w:color="auto"/>
                <w:right w:val="none" w:sz="0" w:space="0" w:color="auto"/>
              </w:divBdr>
              <w:divsChild>
                <w:div w:id="164098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22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hyperlink" Target="https://www.open.edu/openlearncreate/course/index.php?categoryid=45" TargetMode="External"/><Relationship Id="rId21" Type="http://schemas.openxmlformats.org/officeDocument/2006/relationships/footer" Target="footer4.xml"/><Relationship Id="rId34"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reativecommons.org/licenses/by/4.0/" TargetMode="External"/><Relationship Id="rId25" Type="http://schemas.openxmlformats.org/officeDocument/2006/relationships/hyperlink" Target="https://oeru.org/learning-in-a-digital-age/" TargetMode="Externa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s://www.oerafrica.org/node/13635/materials" TargetMode="External"/><Relationship Id="rId20" Type="http://schemas.openxmlformats.org/officeDocument/2006/relationships/hyperlink" Target="https://creativecommons.org/licenses/by/4.0/" TargetMode="External"/><Relationship Id="rId29" Type="http://schemas.openxmlformats.org/officeDocument/2006/relationships/hyperlink" Target="https://www.dol.gov/agencies/eta/skills-training-grants/community-colleg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unsplash.com/photos/IgUR1iX0mqM" TargetMode="External"/><Relationship Id="rId32" Type="http://schemas.openxmlformats.org/officeDocument/2006/relationships/footer" Target="footer5.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6.jpeg"/><Relationship Id="rId28" Type="http://schemas.openxmlformats.org/officeDocument/2006/relationships/hyperlink" Target="https://www.africanstorybook.org/"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reativecommons.org/licenses/by/4.0/" TargetMode="External"/><Relationship Id="rId31" Type="http://schemas.openxmlformats.org/officeDocument/2006/relationships/hyperlink" Target="https://www.nba.co.za/sites/default/files/2021-04/oer-africa-2019-research-repor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ocw.mit.edu/" TargetMode="External"/><Relationship Id="rId27" Type="http://schemas.openxmlformats.org/officeDocument/2006/relationships/hyperlink" Target="https://oer.avu.org/" TargetMode="External"/><Relationship Id="rId30" Type="http://schemas.openxmlformats.org/officeDocument/2006/relationships/hyperlink" Target="http://www.skillscommons.org/" TargetMode="External"/><Relationship Id="rId35" Type="http://schemas.openxmlformats.org/officeDocument/2006/relationships/footer" Target="footer8.xml"/><Relationship Id="rId8" Type="http://schemas.openxmlformats.org/officeDocument/2006/relationships/webSettings" Target="webSettings.xml"/><Relationship Id="rId3" Type="http://schemas.openxmlformats.org/officeDocument/2006/relationships/customXml" Target="../customXml/item3.xml"/></Relationships>
</file>

<file path=word/_rels/endnotes.xml.rels><?xml version="1.0" encoding="UTF-8" standalone="yes"?>
<Relationships xmlns="http://schemas.openxmlformats.org/package/2006/relationships"><Relationship Id="rId8" Type="http://schemas.openxmlformats.org/officeDocument/2006/relationships/hyperlink" Target="https://www.nba.co.za/sites/default/files/2021-04/oer-africa-2019-research-report.pdf" TargetMode="External"/><Relationship Id="rId3" Type="http://schemas.openxmlformats.org/officeDocument/2006/relationships/hyperlink" Target="https://openknowledge.worldbank.org/bitstream/handle/10986/28340/9781464810961_Ch09.pdf" TargetMode="External"/><Relationship Id="rId7" Type="http://schemas.openxmlformats.org/officeDocument/2006/relationships/hyperlink" Target="http://www.roer4d.uct.ac.za/roer4d/edited-volume" TargetMode="External"/><Relationship Id="rId2" Type="http://schemas.openxmlformats.org/officeDocument/2006/relationships/hyperlink" Target="https://www.brookings.edu/research/the-global-education-challenge-scaling-up-to-tackle-the-learning-crisis/" TargetMode="External"/><Relationship Id="rId1" Type="http://schemas.openxmlformats.org/officeDocument/2006/relationships/hyperlink" Target="https://unesdoc.unesco.org/ark:/48223/pf0000373718" TargetMode="External"/><Relationship Id="rId6" Type="http://schemas.openxmlformats.org/officeDocument/2006/relationships/hyperlink" Target="https://journals.sagepub.com/doi/full/10.1177/1475725718810241" TargetMode="External"/><Relationship Id="rId11" Type="http://schemas.openxmlformats.org/officeDocument/2006/relationships/hyperlink" Target="https://www.nba.co.za/sites/default/files/2021-04/oer-africa-2019-research-report.pdf" TargetMode="External"/><Relationship Id="rId5" Type="http://schemas.openxmlformats.org/officeDocument/2006/relationships/hyperlink" Target="https://www.hrw.org/news/2020/08/26/impact-covid-19-childrens-education-africa" TargetMode="External"/><Relationship Id="rId10" Type="http://schemas.openxmlformats.org/officeDocument/2006/relationships/hyperlink" Target="https://teaching.cornell.edu/teaching-resources/assessment-evaluation/measuring-student-learning" TargetMode="External"/><Relationship Id="rId4" Type="http://schemas.openxmlformats.org/officeDocument/2006/relationships/hyperlink" Target="https://www.oecd.org/education/the-impact-of-covid-19-on-education-insights-education-at-a-glance-2020.pdf" TargetMode="External"/><Relationship Id="rId9" Type="http://schemas.openxmlformats.org/officeDocument/2006/relationships/hyperlink" Target="https://idl-bnc-idrc.dspacedirect.org/bitstream/handle/10625/58035/58118.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footer6.xml.rels><?xml version="1.0" encoding="UTF-8" standalone="yes"?>
<Relationships xmlns="http://schemas.openxmlformats.org/package/2006/relationships"><Relationship Id="rId1" Type="http://schemas.openxmlformats.org/officeDocument/2006/relationships/image" Target="media/image7.png"/></Relationships>
</file>

<file path=word/_rels/footer7.xml.rels><?xml version="1.0" encoding="UTF-8" standalone="yes"?>
<Relationships xmlns="http://schemas.openxmlformats.org/package/2006/relationships"><Relationship Id="rId1" Type="http://schemas.openxmlformats.org/officeDocument/2006/relationships/image" Target="media/image3.png"/></Relationships>
</file>

<file path=word/_rels/footer8.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portal.unesco.org/en/ev.php-URL_ID=49556&amp;URL_DO=DO_TOPIC&amp;URL_SECTION=20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AppData\Local\Temp\Temp1_Calibri%20Report.zip\Calibri%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71C1CDAF967A46A79000F98DB7E18D" ma:contentTypeVersion="13" ma:contentTypeDescription="Create a new document." ma:contentTypeScope="" ma:versionID="223bcc14753f5367968e5ca7282325dd">
  <xsd:schema xmlns:xsd="http://www.w3.org/2001/XMLSchema" xmlns:xs="http://www.w3.org/2001/XMLSchema" xmlns:p="http://schemas.microsoft.com/office/2006/metadata/properties" xmlns:ns2="924b1161-432c-455c-a55a-309c1c07533a" xmlns:ns3="85282a53-827d-4236-8de6-76a7d51d147d" targetNamespace="http://schemas.microsoft.com/office/2006/metadata/properties" ma:root="true" ma:fieldsID="1f140722e8dbf5979787f3b329c17781" ns2:_="" ns3:_="">
    <xsd:import namespace="924b1161-432c-455c-a55a-309c1c07533a"/>
    <xsd:import namespace="85282a53-827d-4236-8de6-76a7d51d14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4b1161-432c-455c-a55a-309c1c07533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282a53-827d-4236-8de6-76a7d51d147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85F44A-91A0-44BB-854C-228B3C773615}">
  <ds:schemaRefs>
    <ds:schemaRef ds:uri="http://schemas.microsoft.com/sharepoint/v3/contenttype/forms"/>
  </ds:schemaRefs>
</ds:datastoreItem>
</file>

<file path=customXml/itemProps2.xml><?xml version="1.0" encoding="utf-8"?>
<ds:datastoreItem xmlns:ds="http://schemas.openxmlformats.org/officeDocument/2006/customXml" ds:itemID="{9DC1EEB4-8C03-4BC6-BA28-B83860C63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4b1161-432c-455c-a55a-309c1c07533a"/>
    <ds:schemaRef ds:uri="85282a53-827d-4236-8de6-76a7d51d14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35A611-CB26-4BE2-9398-EE21BE121612}">
  <ds:schemaRefs>
    <ds:schemaRef ds:uri="http://schemas.openxmlformats.org/officeDocument/2006/bibliography"/>
  </ds:schemaRefs>
</ds:datastoreItem>
</file>

<file path=customXml/itemProps4.xml><?xml version="1.0" encoding="utf-8"?>
<ds:datastoreItem xmlns:ds="http://schemas.openxmlformats.org/officeDocument/2006/customXml" ds:itemID="{3D629112-10B8-4642-AAFA-B45E3AB8209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C:\Users\Andrew\AppData\Local\Temp\Temp1_Calibri Report.zip\Calibri Report.dotx</Template>
  <TotalTime>10</TotalTime>
  <Pages>21</Pages>
  <Words>5168</Words>
  <Characters>29461</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Manager/>
  <Company>OER Africa</Company>
  <LinksUpToDate>false</LinksUpToDate>
  <CharactersWithSpaces>34560</CharactersWithSpaces>
  <SharedDoc>false</SharedDoc>
  <HyperlinkBase/>
  <HLinks>
    <vt:vector size="126" baseType="variant">
      <vt:variant>
        <vt:i4>5177373</vt:i4>
      </vt:variant>
      <vt:variant>
        <vt:i4>30</vt:i4>
      </vt:variant>
      <vt:variant>
        <vt:i4>0</vt:i4>
      </vt:variant>
      <vt:variant>
        <vt:i4>5</vt:i4>
      </vt:variant>
      <vt:variant>
        <vt:lpwstr>https://www.nba.co.za/sites/default/files/2021-04/oer-africa-2019-research-report.pdf</vt:lpwstr>
      </vt:variant>
      <vt:variant>
        <vt:lpwstr/>
      </vt:variant>
      <vt:variant>
        <vt:i4>4653076</vt:i4>
      </vt:variant>
      <vt:variant>
        <vt:i4>27</vt:i4>
      </vt:variant>
      <vt:variant>
        <vt:i4>0</vt:i4>
      </vt:variant>
      <vt:variant>
        <vt:i4>5</vt:i4>
      </vt:variant>
      <vt:variant>
        <vt:lpwstr>http://www.skillscommons.org/</vt:lpwstr>
      </vt:variant>
      <vt:variant>
        <vt:lpwstr/>
      </vt:variant>
      <vt:variant>
        <vt:i4>7274600</vt:i4>
      </vt:variant>
      <vt:variant>
        <vt:i4>24</vt:i4>
      </vt:variant>
      <vt:variant>
        <vt:i4>0</vt:i4>
      </vt:variant>
      <vt:variant>
        <vt:i4>5</vt:i4>
      </vt:variant>
      <vt:variant>
        <vt:lpwstr>https://www.dol.gov/agencies/eta/skills-training-grants/community-colleges</vt:lpwstr>
      </vt:variant>
      <vt:variant>
        <vt:lpwstr/>
      </vt:variant>
      <vt:variant>
        <vt:i4>5177353</vt:i4>
      </vt:variant>
      <vt:variant>
        <vt:i4>21</vt:i4>
      </vt:variant>
      <vt:variant>
        <vt:i4>0</vt:i4>
      </vt:variant>
      <vt:variant>
        <vt:i4>5</vt:i4>
      </vt:variant>
      <vt:variant>
        <vt:lpwstr>https://www.africanstorybook.org/</vt:lpwstr>
      </vt:variant>
      <vt:variant>
        <vt:lpwstr/>
      </vt:variant>
      <vt:variant>
        <vt:i4>6225985</vt:i4>
      </vt:variant>
      <vt:variant>
        <vt:i4>18</vt:i4>
      </vt:variant>
      <vt:variant>
        <vt:i4>0</vt:i4>
      </vt:variant>
      <vt:variant>
        <vt:i4>5</vt:i4>
      </vt:variant>
      <vt:variant>
        <vt:lpwstr>https://oer.avu.org/</vt:lpwstr>
      </vt:variant>
      <vt:variant>
        <vt:lpwstr/>
      </vt:variant>
      <vt:variant>
        <vt:i4>2293792</vt:i4>
      </vt:variant>
      <vt:variant>
        <vt:i4>15</vt:i4>
      </vt:variant>
      <vt:variant>
        <vt:i4>0</vt:i4>
      </vt:variant>
      <vt:variant>
        <vt:i4>5</vt:i4>
      </vt:variant>
      <vt:variant>
        <vt:lpwstr>https://www.open.edu/openlearncreate/course/index.php?categoryid=45</vt:lpwstr>
      </vt:variant>
      <vt:variant>
        <vt:lpwstr/>
      </vt:variant>
      <vt:variant>
        <vt:i4>3735669</vt:i4>
      </vt:variant>
      <vt:variant>
        <vt:i4>12</vt:i4>
      </vt:variant>
      <vt:variant>
        <vt:i4>0</vt:i4>
      </vt:variant>
      <vt:variant>
        <vt:i4>5</vt:i4>
      </vt:variant>
      <vt:variant>
        <vt:lpwstr>https://oeru.org/learning-in-a-digital-age/</vt:lpwstr>
      </vt:variant>
      <vt:variant>
        <vt:lpwstr/>
      </vt:variant>
      <vt:variant>
        <vt:i4>786504</vt:i4>
      </vt:variant>
      <vt:variant>
        <vt:i4>9</vt:i4>
      </vt:variant>
      <vt:variant>
        <vt:i4>0</vt:i4>
      </vt:variant>
      <vt:variant>
        <vt:i4>5</vt:i4>
      </vt:variant>
      <vt:variant>
        <vt:lpwstr>https://unsplash.com/license</vt:lpwstr>
      </vt:variant>
      <vt:variant>
        <vt:lpwstr/>
      </vt:variant>
      <vt:variant>
        <vt:i4>6946912</vt:i4>
      </vt:variant>
      <vt:variant>
        <vt:i4>6</vt:i4>
      </vt:variant>
      <vt:variant>
        <vt:i4>0</vt:i4>
      </vt:variant>
      <vt:variant>
        <vt:i4>5</vt:i4>
      </vt:variant>
      <vt:variant>
        <vt:lpwstr>https://unsplash.com/photos/IgUR1iX0mqM</vt:lpwstr>
      </vt:variant>
      <vt:variant>
        <vt:lpwstr/>
      </vt:variant>
      <vt:variant>
        <vt:i4>5242961</vt:i4>
      </vt:variant>
      <vt:variant>
        <vt:i4>0</vt:i4>
      </vt:variant>
      <vt:variant>
        <vt:i4>0</vt:i4>
      </vt:variant>
      <vt:variant>
        <vt:i4>5</vt:i4>
      </vt:variant>
      <vt:variant>
        <vt:lpwstr>https://ocw.mit.edu/</vt:lpwstr>
      </vt:variant>
      <vt:variant>
        <vt:lpwstr/>
      </vt:variant>
      <vt:variant>
        <vt:i4>5177373</vt:i4>
      </vt:variant>
      <vt:variant>
        <vt:i4>30</vt:i4>
      </vt:variant>
      <vt:variant>
        <vt:i4>0</vt:i4>
      </vt:variant>
      <vt:variant>
        <vt:i4>5</vt:i4>
      </vt:variant>
      <vt:variant>
        <vt:lpwstr>https://www.nba.co.za/sites/default/files/2021-04/oer-africa-2019-research-report.pdf</vt:lpwstr>
      </vt:variant>
      <vt:variant>
        <vt:lpwstr/>
      </vt:variant>
      <vt:variant>
        <vt:i4>4259911</vt:i4>
      </vt:variant>
      <vt:variant>
        <vt:i4>27</vt:i4>
      </vt:variant>
      <vt:variant>
        <vt:i4>0</vt:i4>
      </vt:variant>
      <vt:variant>
        <vt:i4>5</vt:i4>
      </vt:variant>
      <vt:variant>
        <vt:lpwstr>https://teaching.cornell.edu/teaching-resources/assessment-evaluation/measuring-student-learning</vt:lpwstr>
      </vt:variant>
      <vt:variant>
        <vt:lpwstr/>
      </vt:variant>
      <vt:variant>
        <vt:i4>196627</vt:i4>
      </vt:variant>
      <vt:variant>
        <vt:i4>24</vt:i4>
      </vt:variant>
      <vt:variant>
        <vt:i4>0</vt:i4>
      </vt:variant>
      <vt:variant>
        <vt:i4>5</vt:i4>
      </vt:variant>
      <vt:variant>
        <vt:lpwstr>https://idl-bnc-idrc.dspacedirect.org/bitstream/handle/10625/58035/58118.pdf</vt:lpwstr>
      </vt:variant>
      <vt:variant>
        <vt:lpwstr/>
      </vt:variant>
      <vt:variant>
        <vt:i4>5177373</vt:i4>
      </vt:variant>
      <vt:variant>
        <vt:i4>21</vt:i4>
      </vt:variant>
      <vt:variant>
        <vt:i4>0</vt:i4>
      </vt:variant>
      <vt:variant>
        <vt:i4>5</vt:i4>
      </vt:variant>
      <vt:variant>
        <vt:lpwstr>https://www.nba.co.za/sites/default/files/2021-04/oer-africa-2019-research-report.pdf</vt:lpwstr>
      </vt:variant>
      <vt:variant>
        <vt:lpwstr/>
      </vt:variant>
      <vt:variant>
        <vt:i4>2031625</vt:i4>
      </vt:variant>
      <vt:variant>
        <vt:i4>18</vt:i4>
      </vt:variant>
      <vt:variant>
        <vt:i4>0</vt:i4>
      </vt:variant>
      <vt:variant>
        <vt:i4>5</vt:i4>
      </vt:variant>
      <vt:variant>
        <vt:lpwstr>http://www.roer4d.uct.ac.za/roer4d/edited-volume</vt:lpwstr>
      </vt:variant>
      <vt:variant>
        <vt:lpwstr/>
      </vt:variant>
      <vt:variant>
        <vt:i4>2687013</vt:i4>
      </vt:variant>
      <vt:variant>
        <vt:i4>15</vt:i4>
      </vt:variant>
      <vt:variant>
        <vt:i4>0</vt:i4>
      </vt:variant>
      <vt:variant>
        <vt:i4>5</vt:i4>
      </vt:variant>
      <vt:variant>
        <vt:lpwstr>https://journals.sagepub.com/doi/full/10.1177/1475725718810241</vt:lpwstr>
      </vt:variant>
      <vt:variant>
        <vt:lpwstr/>
      </vt:variant>
      <vt:variant>
        <vt:i4>2752627</vt:i4>
      </vt:variant>
      <vt:variant>
        <vt:i4>12</vt:i4>
      </vt:variant>
      <vt:variant>
        <vt:i4>0</vt:i4>
      </vt:variant>
      <vt:variant>
        <vt:i4>5</vt:i4>
      </vt:variant>
      <vt:variant>
        <vt:lpwstr>https://www.hrw.org/news/2020/08/26/impact-covid-19-childrens-education-africa</vt:lpwstr>
      </vt:variant>
      <vt:variant>
        <vt:lpwstr/>
      </vt:variant>
      <vt:variant>
        <vt:i4>3932212</vt:i4>
      </vt:variant>
      <vt:variant>
        <vt:i4>9</vt:i4>
      </vt:variant>
      <vt:variant>
        <vt:i4>0</vt:i4>
      </vt:variant>
      <vt:variant>
        <vt:i4>5</vt:i4>
      </vt:variant>
      <vt:variant>
        <vt:lpwstr>https://www.oecd.org/education/the-impact-of-covid-19-on-education-insights-education-at-a-glance-2020.pdf</vt:lpwstr>
      </vt:variant>
      <vt:variant>
        <vt:lpwstr/>
      </vt:variant>
      <vt:variant>
        <vt:i4>3014683</vt:i4>
      </vt:variant>
      <vt:variant>
        <vt:i4>6</vt:i4>
      </vt:variant>
      <vt:variant>
        <vt:i4>0</vt:i4>
      </vt:variant>
      <vt:variant>
        <vt:i4>5</vt:i4>
      </vt:variant>
      <vt:variant>
        <vt:lpwstr>https://openknowledge.worldbank.org/bitstream/handle/10986/28340/9781464810961_Ch09.pdf</vt:lpwstr>
      </vt:variant>
      <vt:variant>
        <vt:lpwstr/>
      </vt:variant>
      <vt:variant>
        <vt:i4>2228337</vt:i4>
      </vt:variant>
      <vt:variant>
        <vt:i4>3</vt:i4>
      </vt:variant>
      <vt:variant>
        <vt:i4>0</vt:i4>
      </vt:variant>
      <vt:variant>
        <vt:i4>5</vt:i4>
      </vt:variant>
      <vt:variant>
        <vt:lpwstr>https://www.brookings.edu/research/the-global-education-challenge-scaling-up-to-tackle-the-learning-crisis/</vt:lpwstr>
      </vt:variant>
      <vt:variant>
        <vt:lpwstr/>
      </vt:variant>
      <vt:variant>
        <vt:i4>6881387</vt:i4>
      </vt:variant>
      <vt:variant>
        <vt:i4>0</vt:i4>
      </vt:variant>
      <vt:variant>
        <vt:i4>0</vt:i4>
      </vt:variant>
      <vt:variant>
        <vt:i4>5</vt:i4>
      </vt:variant>
      <vt:variant>
        <vt:lpwstr>https://unesdoc.unesco.org/ark:/48223/pf0000373718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OER Africa</dc:creator>
  <cp:keywords/>
  <dc:description/>
  <cp:lastModifiedBy>Mohini Baijnath</cp:lastModifiedBy>
  <cp:revision>17</cp:revision>
  <cp:lastPrinted>2022-04-04T09:08:00Z</cp:lastPrinted>
  <dcterms:created xsi:type="dcterms:W3CDTF">2022-05-26T12:09:00Z</dcterms:created>
  <dcterms:modified xsi:type="dcterms:W3CDTF">2022-05-30T15:18:00Z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0x010100ED71C1CDAF967A46A79000F98DB7E18D</vt:lpwstr>
  </property>
</Properties>
</file>